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B3E8" w14:textId="3AC8D208" w:rsidR="008D1D49" w:rsidRPr="00683044" w:rsidRDefault="008D1D49" w:rsidP="00683044">
      <w:pPr>
        <w:rPr>
          <w:rFonts w:ascii="Aptos" w:hAnsi="Aptos"/>
          <w:b/>
          <w:bCs/>
          <w:sz w:val="24"/>
          <w:szCs w:val="24"/>
        </w:rPr>
      </w:pPr>
      <w:r w:rsidRPr="00683044">
        <w:rPr>
          <w:rFonts w:ascii="Aptos" w:hAnsi="Aptos"/>
          <w:b/>
          <w:bCs/>
          <w:sz w:val="24"/>
          <w:szCs w:val="24"/>
        </w:rPr>
        <w:t>HEALTH SAVINGS ACCOUNT CONTRIBU</w:t>
      </w:r>
      <w:r w:rsidR="00E91226">
        <w:rPr>
          <w:rFonts w:ascii="Aptos" w:hAnsi="Aptos"/>
          <w:b/>
          <w:bCs/>
          <w:sz w:val="24"/>
          <w:szCs w:val="24"/>
        </w:rPr>
        <w:t>TION</w:t>
      </w:r>
      <w:r w:rsidRPr="00683044">
        <w:rPr>
          <w:rFonts w:ascii="Aptos" w:hAnsi="Aptos"/>
          <w:b/>
          <w:bCs/>
          <w:sz w:val="24"/>
          <w:szCs w:val="24"/>
        </w:rPr>
        <w:t>S</w:t>
      </w:r>
    </w:p>
    <w:p w14:paraId="2FDFB0D1" w14:textId="77777777" w:rsidR="00DA3DB5" w:rsidRDefault="00DA3DB5" w:rsidP="00683044">
      <w:pPr>
        <w:rPr>
          <w:rFonts w:ascii="Aptos" w:hAnsi="Aptos"/>
          <w:sz w:val="24"/>
          <w:szCs w:val="24"/>
        </w:rPr>
      </w:pPr>
    </w:p>
    <w:p w14:paraId="6853EFC2" w14:textId="11BA3714" w:rsidR="00850618" w:rsidRDefault="0077489B" w:rsidP="00683044">
      <w:pPr>
        <w:rPr>
          <w:rFonts w:ascii="Aptos" w:hAnsi="Aptos"/>
          <w:sz w:val="24"/>
          <w:szCs w:val="24"/>
        </w:rPr>
      </w:pPr>
      <w:r w:rsidRPr="00683044">
        <w:rPr>
          <w:rFonts w:ascii="Aptos" w:hAnsi="Aptos"/>
          <w:sz w:val="24"/>
          <w:szCs w:val="24"/>
        </w:rPr>
        <w:t>A GREAT WAY TO SAVE FOR HEALTHCARE EXPENSES</w:t>
      </w:r>
    </w:p>
    <w:p w14:paraId="0FC23293" w14:textId="77777777" w:rsidR="00DA3DB5" w:rsidRPr="00683044" w:rsidRDefault="00DA3DB5" w:rsidP="00683044">
      <w:pPr>
        <w:rPr>
          <w:rFonts w:ascii="Aptos" w:hAnsi="Aptos"/>
          <w:sz w:val="24"/>
          <w:szCs w:val="24"/>
        </w:rPr>
      </w:pPr>
    </w:p>
    <w:p w14:paraId="6853EFC4" w14:textId="4A157F7F" w:rsidR="00850618" w:rsidRPr="00683044" w:rsidRDefault="0077489B" w:rsidP="00683044">
      <w:pPr>
        <w:rPr>
          <w:rFonts w:ascii="Aptos" w:hAnsi="Aptos"/>
          <w:sz w:val="24"/>
          <w:szCs w:val="24"/>
        </w:rPr>
      </w:pPr>
      <w:r w:rsidRPr="00683044">
        <w:rPr>
          <w:rFonts w:ascii="Aptos" w:hAnsi="Aptos"/>
          <w:sz w:val="24"/>
          <w:szCs w:val="24"/>
        </w:rPr>
        <w:t>As millions of Americans have discovered, a Health Saving</w:t>
      </w:r>
      <w:r w:rsidR="00747045">
        <w:rPr>
          <w:rFonts w:ascii="Aptos" w:hAnsi="Aptos"/>
          <w:sz w:val="24"/>
          <w:szCs w:val="24"/>
        </w:rPr>
        <w:t>s</w:t>
      </w:r>
      <w:r w:rsidR="00CC4BAE" w:rsidRPr="00683044">
        <w:rPr>
          <w:rFonts w:ascii="Aptos" w:hAnsi="Aptos"/>
          <w:sz w:val="24"/>
          <w:szCs w:val="24"/>
        </w:rPr>
        <w:t xml:space="preserve"> </w:t>
      </w:r>
      <w:r w:rsidRPr="00683044">
        <w:rPr>
          <w:rFonts w:ascii="Aptos" w:hAnsi="Aptos"/>
          <w:sz w:val="24"/>
          <w:szCs w:val="24"/>
        </w:rPr>
        <w:t>Account (HSA) is one of the best ways to set aside funds to pay for healthcare expenses.</w:t>
      </w:r>
    </w:p>
    <w:p w14:paraId="2B5B16F2" w14:textId="77777777" w:rsidR="00DA3DB5" w:rsidRDefault="00DA3DB5" w:rsidP="00683044">
      <w:pPr>
        <w:rPr>
          <w:rFonts w:ascii="Aptos" w:hAnsi="Aptos"/>
          <w:sz w:val="24"/>
          <w:szCs w:val="24"/>
        </w:rPr>
      </w:pPr>
    </w:p>
    <w:p w14:paraId="6853EFC5" w14:textId="281AE8A0" w:rsidR="00850618" w:rsidRPr="00683044" w:rsidRDefault="0077489B" w:rsidP="00683044">
      <w:pPr>
        <w:rPr>
          <w:rFonts w:ascii="Aptos" w:hAnsi="Aptos"/>
          <w:sz w:val="24"/>
          <w:szCs w:val="24"/>
        </w:rPr>
      </w:pPr>
      <w:r w:rsidRPr="00683044">
        <w:rPr>
          <w:rFonts w:ascii="Aptos" w:hAnsi="Aptos"/>
          <w:sz w:val="24"/>
          <w:szCs w:val="24"/>
        </w:rPr>
        <w:t>While not everyone is eligible to fund an HSA, many millions of Americans are eligible. What’s more, the rules for determining HSA eligibility are relatively simple.</w:t>
      </w:r>
    </w:p>
    <w:p w14:paraId="77DE2621" w14:textId="77777777" w:rsidR="00DA3DB5" w:rsidRDefault="00DA3DB5" w:rsidP="00683044">
      <w:pPr>
        <w:rPr>
          <w:rFonts w:ascii="Aptos" w:hAnsi="Aptos"/>
          <w:sz w:val="24"/>
          <w:szCs w:val="24"/>
        </w:rPr>
      </w:pPr>
    </w:p>
    <w:p w14:paraId="6853EFD2" w14:textId="608C0D11" w:rsidR="00850618" w:rsidRPr="00683044" w:rsidRDefault="0077489B" w:rsidP="00683044">
      <w:pPr>
        <w:rPr>
          <w:rFonts w:ascii="Aptos" w:hAnsi="Aptos"/>
          <w:sz w:val="24"/>
          <w:szCs w:val="24"/>
        </w:rPr>
      </w:pPr>
      <w:r w:rsidRPr="00683044">
        <w:rPr>
          <w:rFonts w:ascii="Aptos" w:hAnsi="Aptos"/>
          <w:sz w:val="24"/>
          <w:szCs w:val="24"/>
        </w:rPr>
        <w:t>CONTRIBUTING TO AN HSA</w:t>
      </w:r>
    </w:p>
    <w:p w14:paraId="143E26B5" w14:textId="77777777" w:rsidR="00DA3DB5" w:rsidRDefault="00DA3DB5" w:rsidP="00683044">
      <w:pPr>
        <w:rPr>
          <w:rFonts w:ascii="Aptos" w:hAnsi="Aptos"/>
          <w:sz w:val="24"/>
          <w:szCs w:val="24"/>
        </w:rPr>
      </w:pPr>
    </w:p>
    <w:p w14:paraId="6853EFD6" w14:textId="0A2AB944" w:rsidR="00850618" w:rsidRPr="00683044" w:rsidRDefault="0077489B" w:rsidP="00683044">
      <w:pPr>
        <w:rPr>
          <w:rFonts w:ascii="Aptos" w:hAnsi="Aptos"/>
          <w:sz w:val="24"/>
          <w:szCs w:val="24"/>
        </w:rPr>
      </w:pPr>
      <w:r w:rsidRPr="00683044">
        <w:rPr>
          <w:rFonts w:ascii="Aptos" w:hAnsi="Aptos"/>
          <w:sz w:val="24"/>
          <w:szCs w:val="24"/>
        </w:rPr>
        <w:t>To be eligible to contribute to an HSA, you must be covered by a high deductible health plan (HDHP) that meets certain minimum deductible and maximum out-of-pocket expense requirements. In addition to having HDHP coverage, you must not be</w:t>
      </w:r>
      <w:r w:rsidR="00681AE3">
        <w:rPr>
          <w:rFonts w:ascii="Aptos" w:hAnsi="Aptos"/>
          <w:sz w:val="24"/>
          <w:szCs w:val="24"/>
        </w:rPr>
        <w:t xml:space="preserve"> </w:t>
      </w:r>
      <w:r w:rsidRPr="00683044">
        <w:rPr>
          <w:rFonts w:ascii="Aptos" w:hAnsi="Aptos"/>
          <w:sz w:val="24"/>
          <w:szCs w:val="24"/>
        </w:rPr>
        <w:t>covered under any other insurance plan that is not an HDHP (with certain exceptions),</w:t>
      </w:r>
      <w:r w:rsidR="00681AE3">
        <w:rPr>
          <w:rFonts w:ascii="Aptos" w:hAnsi="Aptos"/>
          <w:sz w:val="24"/>
          <w:szCs w:val="24"/>
        </w:rPr>
        <w:t xml:space="preserve"> </w:t>
      </w:r>
      <w:r w:rsidRPr="00683044">
        <w:rPr>
          <w:rFonts w:ascii="Aptos" w:hAnsi="Aptos"/>
          <w:sz w:val="24"/>
          <w:szCs w:val="24"/>
        </w:rPr>
        <w:t>enrolled in Medicare, or</w:t>
      </w:r>
      <w:r>
        <w:rPr>
          <w:rFonts w:ascii="Aptos" w:hAnsi="Aptos"/>
          <w:sz w:val="24"/>
          <w:szCs w:val="24"/>
        </w:rPr>
        <w:t xml:space="preserve"> </w:t>
      </w:r>
      <w:r w:rsidRPr="00683044">
        <w:rPr>
          <w:rFonts w:ascii="Aptos" w:hAnsi="Aptos"/>
          <w:sz w:val="24"/>
          <w:szCs w:val="24"/>
        </w:rPr>
        <w:t>able to be claimed as a dependent on someone else’s tax return.</w:t>
      </w:r>
    </w:p>
    <w:p w14:paraId="6853EFD7" w14:textId="77777777" w:rsidR="00850618" w:rsidRPr="00683044" w:rsidRDefault="00850618" w:rsidP="00683044">
      <w:pPr>
        <w:rPr>
          <w:rFonts w:ascii="Aptos" w:hAnsi="Aptos"/>
          <w:sz w:val="24"/>
          <w:szCs w:val="24"/>
        </w:rPr>
      </w:pPr>
    </w:p>
    <w:tbl>
      <w:tblPr>
        <w:tblW w:w="0" w:type="auto"/>
        <w:tblInd w:w="3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45"/>
        <w:gridCol w:w="2250"/>
        <w:gridCol w:w="3330"/>
      </w:tblGrid>
      <w:tr w:rsidR="00E12F11" w:rsidRPr="00683044" w14:paraId="6853EFD9" w14:textId="77777777" w:rsidTr="00E74526">
        <w:trPr>
          <w:trHeight w:val="393"/>
        </w:trPr>
        <w:tc>
          <w:tcPr>
            <w:tcW w:w="7525" w:type="dxa"/>
            <w:gridSpan w:val="3"/>
            <w:shd w:val="clear" w:color="auto" w:fill="184275"/>
          </w:tcPr>
          <w:p w14:paraId="6853EFD8" w14:textId="77777777" w:rsidR="00850618" w:rsidRPr="00683044" w:rsidRDefault="0077489B" w:rsidP="00683044">
            <w:pPr>
              <w:rPr>
                <w:rFonts w:ascii="Aptos" w:hAnsi="Aptos"/>
                <w:sz w:val="24"/>
                <w:szCs w:val="24"/>
              </w:rPr>
            </w:pPr>
            <w:r w:rsidRPr="00683044">
              <w:rPr>
                <w:rFonts w:ascii="Aptos" w:hAnsi="Aptos"/>
                <w:sz w:val="24"/>
                <w:szCs w:val="24"/>
              </w:rPr>
              <w:t>High Deductible Health Plan</w:t>
            </w:r>
          </w:p>
        </w:tc>
      </w:tr>
      <w:tr w:rsidR="00E12F11" w:rsidRPr="00683044" w14:paraId="6853EFDD" w14:textId="77777777" w:rsidTr="00E74526">
        <w:trPr>
          <w:trHeight w:val="444"/>
        </w:trPr>
        <w:tc>
          <w:tcPr>
            <w:tcW w:w="1945" w:type="dxa"/>
            <w:tcBorders>
              <w:bottom w:val="nil"/>
              <w:right w:val="single" w:sz="12" w:space="0" w:color="231F20"/>
            </w:tcBorders>
          </w:tcPr>
          <w:p w14:paraId="6853EFDA" w14:textId="77777777" w:rsidR="00850618" w:rsidRPr="00683044" w:rsidRDefault="00850618" w:rsidP="00683044">
            <w:pPr>
              <w:rPr>
                <w:rFonts w:ascii="Aptos" w:hAnsi="Aptos"/>
                <w:sz w:val="24"/>
                <w:szCs w:val="24"/>
              </w:rPr>
            </w:pPr>
          </w:p>
        </w:tc>
        <w:tc>
          <w:tcPr>
            <w:tcW w:w="2250" w:type="dxa"/>
            <w:tcBorders>
              <w:left w:val="single" w:sz="12" w:space="0" w:color="231F20"/>
              <w:bottom w:val="nil"/>
              <w:right w:val="single" w:sz="12" w:space="0" w:color="231F20"/>
            </w:tcBorders>
          </w:tcPr>
          <w:p w14:paraId="6853EFDB" w14:textId="77777777" w:rsidR="00850618" w:rsidRPr="00683044" w:rsidRDefault="0077489B" w:rsidP="00683044">
            <w:pPr>
              <w:rPr>
                <w:rFonts w:ascii="Aptos" w:hAnsi="Aptos"/>
                <w:sz w:val="24"/>
                <w:szCs w:val="24"/>
              </w:rPr>
            </w:pPr>
            <w:r w:rsidRPr="00683044">
              <w:rPr>
                <w:rFonts w:ascii="Aptos" w:hAnsi="Aptos"/>
                <w:sz w:val="24"/>
                <w:szCs w:val="24"/>
              </w:rPr>
              <w:t>Minimum Deductible</w:t>
            </w:r>
          </w:p>
        </w:tc>
        <w:tc>
          <w:tcPr>
            <w:tcW w:w="3330" w:type="dxa"/>
            <w:tcBorders>
              <w:left w:val="single" w:sz="12" w:space="0" w:color="231F20"/>
              <w:bottom w:val="nil"/>
            </w:tcBorders>
          </w:tcPr>
          <w:p w14:paraId="6853EFDC" w14:textId="77777777" w:rsidR="00850618" w:rsidRPr="00683044" w:rsidRDefault="0077489B" w:rsidP="00683044">
            <w:pPr>
              <w:rPr>
                <w:rFonts w:ascii="Aptos" w:hAnsi="Aptos"/>
                <w:sz w:val="24"/>
                <w:szCs w:val="24"/>
              </w:rPr>
            </w:pPr>
            <w:r w:rsidRPr="00683044">
              <w:rPr>
                <w:rFonts w:ascii="Aptos" w:hAnsi="Aptos"/>
                <w:sz w:val="24"/>
                <w:szCs w:val="24"/>
              </w:rPr>
              <w:t>Maximum Out-of- Pocket Expenses</w:t>
            </w:r>
          </w:p>
        </w:tc>
      </w:tr>
      <w:tr w:rsidR="00E12F11" w:rsidRPr="00683044" w14:paraId="6853EFE1" w14:textId="77777777" w:rsidTr="00E74526">
        <w:trPr>
          <w:trHeight w:val="232"/>
        </w:trPr>
        <w:tc>
          <w:tcPr>
            <w:tcW w:w="1945" w:type="dxa"/>
            <w:tcBorders>
              <w:top w:val="nil"/>
              <w:bottom w:val="nil"/>
              <w:right w:val="single" w:sz="12" w:space="0" w:color="231F20"/>
            </w:tcBorders>
            <w:shd w:val="clear" w:color="auto" w:fill="D1D3D4"/>
          </w:tcPr>
          <w:p w14:paraId="6853EFDE" w14:textId="77777777" w:rsidR="00850618" w:rsidRPr="00683044" w:rsidRDefault="0077489B" w:rsidP="00683044">
            <w:pPr>
              <w:rPr>
                <w:rFonts w:ascii="Aptos" w:hAnsi="Aptos"/>
                <w:sz w:val="24"/>
                <w:szCs w:val="24"/>
              </w:rPr>
            </w:pPr>
            <w:r w:rsidRPr="00683044">
              <w:rPr>
                <w:rFonts w:ascii="Aptos" w:hAnsi="Aptos"/>
                <w:sz w:val="24"/>
                <w:szCs w:val="24"/>
              </w:rPr>
              <w:t>Self-Only</w:t>
            </w:r>
          </w:p>
        </w:tc>
        <w:tc>
          <w:tcPr>
            <w:tcW w:w="2250" w:type="dxa"/>
            <w:tcBorders>
              <w:top w:val="nil"/>
              <w:left w:val="single" w:sz="12" w:space="0" w:color="231F20"/>
              <w:bottom w:val="nil"/>
              <w:right w:val="single" w:sz="12" w:space="0" w:color="231F20"/>
            </w:tcBorders>
            <w:shd w:val="clear" w:color="auto" w:fill="D1D3D4"/>
          </w:tcPr>
          <w:p w14:paraId="6853EFDF" w14:textId="43002C9E" w:rsidR="00850618" w:rsidRPr="00683044" w:rsidRDefault="0077489B" w:rsidP="00683044">
            <w:pPr>
              <w:rPr>
                <w:rFonts w:ascii="Aptos" w:hAnsi="Aptos"/>
                <w:sz w:val="24"/>
                <w:szCs w:val="24"/>
              </w:rPr>
            </w:pPr>
            <w:r w:rsidRPr="00683044">
              <w:rPr>
                <w:rFonts w:ascii="Aptos" w:hAnsi="Aptos"/>
                <w:sz w:val="24"/>
                <w:szCs w:val="24"/>
              </w:rPr>
              <w:t>$1,6</w:t>
            </w:r>
            <w:r w:rsidR="00BC3653">
              <w:rPr>
                <w:rFonts w:ascii="Aptos" w:hAnsi="Aptos"/>
                <w:sz w:val="24"/>
                <w:szCs w:val="24"/>
              </w:rPr>
              <w:t>5</w:t>
            </w:r>
            <w:r w:rsidRPr="00683044">
              <w:rPr>
                <w:rFonts w:ascii="Aptos" w:hAnsi="Aptos"/>
                <w:sz w:val="24"/>
                <w:szCs w:val="24"/>
              </w:rPr>
              <w:t>0 (202</w:t>
            </w:r>
            <w:r w:rsidR="00BC3653">
              <w:rPr>
                <w:rFonts w:ascii="Aptos" w:hAnsi="Aptos"/>
                <w:sz w:val="24"/>
                <w:szCs w:val="24"/>
              </w:rPr>
              <w:t>5</w:t>
            </w:r>
            <w:r w:rsidRPr="00683044">
              <w:rPr>
                <w:rFonts w:ascii="Aptos" w:hAnsi="Aptos"/>
                <w:sz w:val="24"/>
                <w:szCs w:val="24"/>
              </w:rPr>
              <w:t>)</w:t>
            </w:r>
          </w:p>
        </w:tc>
        <w:tc>
          <w:tcPr>
            <w:tcW w:w="3330" w:type="dxa"/>
            <w:tcBorders>
              <w:top w:val="nil"/>
              <w:left w:val="single" w:sz="12" w:space="0" w:color="231F20"/>
              <w:bottom w:val="nil"/>
            </w:tcBorders>
            <w:shd w:val="clear" w:color="auto" w:fill="D1D3D4"/>
          </w:tcPr>
          <w:p w14:paraId="6853EFE0" w14:textId="11DDC8FD" w:rsidR="00850618" w:rsidRPr="00683044" w:rsidRDefault="0077489B" w:rsidP="00683044">
            <w:pPr>
              <w:rPr>
                <w:rFonts w:ascii="Aptos" w:hAnsi="Aptos"/>
                <w:sz w:val="24"/>
                <w:szCs w:val="24"/>
              </w:rPr>
            </w:pPr>
            <w:r w:rsidRPr="00683044">
              <w:rPr>
                <w:rFonts w:ascii="Aptos" w:hAnsi="Aptos"/>
                <w:sz w:val="24"/>
                <w:szCs w:val="24"/>
              </w:rPr>
              <w:t>$8,</w:t>
            </w:r>
            <w:r w:rsidR="00BC3653">
              <w:rPr>
                <w:rFonts w:ascii="Aptos" w:hAnsi="Aptos"/>
                <w:sz w:val="24"/>
                <w:szCs w:val="24"/>
              </w:rPr>
              <w:t>300</w:t>
            </w:r>
            <w:r w:rsidRPr="00683044">
              <w:rPr>
                <w:rFonts w:ascii="Aptos" w:hAnsi="Aptos"/>
                <w:sz w:val="24"/>
                <w:szCs w:val="24"/>
              </w:rPr>
              <w:t xml:space="preserve"> (202</w:t>
            </w:r>
            <w:r w:rsidR="00BC3653">
              <w:rPr>
                <w:rFonts w:ascii="Aptos" w:hAnsi="Aptos"/>
                <w:sz w:val="24"/>
                <w:szCs w:val="24"/>
              </w:rPr>
              <w:t>5</w:t>
            </w:r>
            <w:r w:rsidRPr="00683044">
              <w:rPr>
                <w:rFonts w:ascii="Aptos" w:hAnsi="Aptos"/>
                <w:sz w:val="24"/>
                <w:szCs w:val="24"/>
              </w:rPr>
              <w:t>)</w:t>
            </w:r>
          </w:p>
        </w:tc>
      </w:tr>
      <w:tr w:rsidR="00747045" w:rsidRPr="00683044" w14:paraId="6853EFE5" w14:textId="77777777" w:rsidTr="00E74526">
        <w:trPr>
          <w:trHeight w:val="217"/>
        </w:trPr>
        <w:tc>
          <w:tcPr>
            <w:tcW w:w="1945" w:type="dxa"/>
            <w:tcBorders>
              <w:top w:val="nil"/>
              <w:bottom w:val="nil"/>
              <w:right w:val="single" w:sz="12" w:space="0" w:color="231F20"/>
            </w:tcBorders>
            <w:shd w:val="clear" w:color="auto" w:fill="D1D3D4"/>
          </w:tcPr>
          <w:p w14:paraId="6853EFE2" w14:textId="77777777" w:rsidR="00747045" w:rsidRPr="00683044" w:rsidRDefault="00747045" w:rsidP="00747045">
            <w:pPr>
              <w:rPr>
                <w:rFonts w:ascii="Aptos" w:hAnsi="Aptos"/>
                <w:sz w:val="24"/>
                <w:szCs w:val="24"/>
              </w:rPr>
            </w:pPr>
            <w:r w:rsidRPr="00683044">
              <w:rPr>
                <w:rFonts w:ascii="Aptos" w:hAnsi="Aptos"/>
                <w:sz w:val="24"/>
                <w:szCs w:val="24"/>
              </w:rPr>
              <w:t>Coverage</w:t>
            </w:r>
          </w:p>
        </w:tc>
        <w:tc>
          <w:tcPr>
            <w:tcW w:w="2250" w:type="dxa"/>
            <w:tcBorders>
              <w:top w:val="nil"/>
              <w:left w:val="single" w:sz="12" w:space="0" w:color="231F20"/>
              <w:bottom w:val="nil"/>
              <w:right w:val="single" w:sz="12" w:space="0" w:color="231F20"/>
            </w:tcBorders>
            <w:shd w:val="clear" w:color="auto" w:fill="D1D3D4"/>
          </w:tcPr>
          <w:p w14:paraId="6853EFE3" w14:textId="7995D1C6" w:rsidR="00747045" w:rsidRPr="00683044" w:rsidRDefault="00747045" w:rsidP="00747045">
            <w:pPr>
              <w:rPr>
                <w:rFonts w:ascii="Aptos" w:hAnsi="Aptos"/>
                <w:sz w:val="24"/>
                <w:szCs w:val="24"/>
              </w:rPr>
            </w:pPr>
            <w:r w:rsidRPr="00683044">
              <w:rPr>
                <w:rFonts w:ascii="Aptos" w:hAnsi="Aptos"/>
                <w:sz w:val="24"/>
                <w:szCs w:val="24"/>
              </w:rPr>
              <w:t>$1,600 (2024)</w:t>
            </w:r>
          </w:p>
        </w:tc>
        <w:tc>
          <w:tcPr>
            <w:tcW w:w="3330" w:type="dxa"/>
            <w:tcBorders>
              <w:top w:val="nil"/>
              <w:left w:val="single" w:sz="12" w:space="0" w:color="231F20"/>
              <w:bottom w:val="nil"/>
            </w:tcBorders>
            <w:shd w:val="clear" w:color="auto" w:fill="D1D3D4"/>
          </w:tcPr>
          <w:p w14:paraId="6853EFE4" w14:textId="4C3A0ADD" w:rsidR="00747045" w:rsidRPr="00683044" w:rsidRDefault="00747045" w:rsidP="00747045">
            <w:pPr>
              <w:rPr>
                <w:rFonts w:ascii="Aptos" w:hAnsi="Aptos"/>
                <w:sz w:val="24"/>
                <w:szCs w:val="24"/>
              </w:rPr>
            </w:pPr>
            <w:r w:rsidRPr="00683044">
              <w:rPr>
                <w:rFonts w:ascii="Aptos" w:hAnsi="Aptos"/>
                <w:sz w:val="24"/>
                <w:szCs w:val="24"/>
              </w:rPr>
              <w:t>$8,050 (2024)</w:t>
            </w:r>
          </w:p>
        </w:tc>
      </w:tr>
      <w:tr w:rsidR="00E12F11" w:rsidRPr="00683044" w14:paraId="6853EFE9" w14:textId="77777777" w:rsidTr="00E74526">
        <w:trPr>
          <w:trHeight w:val="230"/>
        </w:trPr>
        <w:tc>
          <w:tcPr>
            <w:tcW w:w="1945" w:type="dxa"/>
            <w:tcBorders>
              <w:top w:val="nil"/>
              <w:bottom w:val="nil"/>
              <w:right w:val="single" w:sz="12" w:space="0" w:color="231F20"/>
            </w:tcBorders>
          </w:tcPr>
          <w:p w14:paraId="6853EFE6" w14:textId="77777777" w:rsidR="00850618" w:rsidRPr="00683044" w:rsidRDefault="0077489B" w:rsidP="00683044">
            <w:pPr>
              <w:rPr>
                <w:rFonts w:ascii="Aptos" w:hAnsi="Aptos"/>
                <w:sz w:val="24"/>
                <w:szCs w:val="24"/>
              </w:rPr>
            </w:pPr>
            <w:r w:rsidRPr="00683044">
              <w:rPr>
                <w:rFonts w:ascii="Aptos" w:hAnsi="Aptos"/>
                <w:sz w:val="24"/>
                <w:szCs w:val="24"/>
              </w:rPr>
              <w:t>Family</w:t>
            </w:r>
          </w:p>
        </w:tc>
        <w:tc>
          <w:tcPr>
            <w:tcW w:w="2250" w:type="dxa"/>
            <w:tcBorders>
              <w:top w:val="nil"/>
              <w:left w:val="single" w:sz="12" w:space="0" w:color="231F20"/>
              <w:bottom w:val="nil"/>
              <w:right w:val="single" w:sz="12" w:space="0" w:color="231F20"/>
            </w:tcBorders>
          </w:tcPr>
          <w:p w14:paraId="6853EFE7" w14:textId="5CF8821C" w:rsidR="00850618" w:rsidRPr="00683044" w:rsidRDefault="0077489B" w:rsidP="00683044">
            <w:pPr>
              <w:rPr>
                <w:rFonts w:ascii="Aptos" w:hAnsi="Aptos"/>
                <w:sz w:val="24"/>
                <w:szCs w:val="24"/>
              </w:rPr>
            </w:pPr>
            <w:r w:rsidRPr="00683044">
              <w:rPr>
                <w:rFonts w:ascii="Aptos" w:hAnsi="Aptos"/>
                <w:sz w:val="24"/>
                <w:szCs w:val="24"/>
              </w:rPr>
              <w:t>$3,</w:t>
            </w:r>
            <w:r w:rsidR="00BC3653">
              <w:rPr>
                <w:rFonts w:ascii="Aptos" w:hAnsi="Aptos"/>
                <w:sz w:val="24"/>
                <w:szCs w:val="24"/>
              </w:rPr>
              <w:t>3</w:t>
            </w:r>
            <w:r w:rsidRPr="00683044">
              <w:rPr>
                <w:rFonts w:ascii="Aptos" w:hAnsi="Aptos"/>
                <w:sz w:val="24"/>
                <w:szCs w:val="24"/>
              </w:rPr>
              <w:t>00 (202</w:t>
            </w:r>
            <w:r w:rsidR="00BC3653">
              <w:rPr>
                <w:rFonts w:ascii="Aptos" w:hAnsi="Aptos"/>
                <w:sz w:val="24"/>
                <w:szCs w:val="24"/>
              </w:rPr>
              <w:t>5</w:t>
            </w:r>
            <w:r w:rsidRPr="00683044">
              <w:rPr>
                <w:rFonts w:ascii="Aptos" w:hAnsi="Aptos"/>
                <w:sz w:val="24"/>
                <w:szCs w:val="24"/>
              </w:rPr>
              <w:t>)</w:t>
            </w:r>
          </w:p>
        </w:tc>
        <w:tc>
          <w:tcPr>
            <w:tcW w:w="3330" w:type="dxa"/>
            <w:tcBorders>
              <w:top w:val="nil"/>
              <w:left w:val="single" w:sz="12" w:space="0" w:color="231F20"/>
              <w:bottom w:val="nil"/>
            </w:tcBorders>
          </w:tcPr>
          <w:p w14:paraId="6853EFE8" w14:textId="2591D55E" w:rsidR="00850618" w:rsidRPr="00683044" w:rsidRDefault="0077489B" w:rsidP="00683044">
            <w:pPr>
              <w:rPr>
                <w:rFonts w:ascii="Aptos" w:hAnsi="Aptos"/>
                <w:sz w:val="24"/>
                <w:szCs w:val="24"/>
              </w:rPr>
            </w:pPr>
            <w:r w:rsidRPr="00683044">
              <w:rPr>
                <w:rFonts w:ascii="Aptos" w:hAnsi="Aptos"/>
                <w:sz w:val="24"/>
                <w:szCs w:val="24"/>
              </w:rPr>
              <w:t>$16,</w:t>
            </w:r>
            <w:r w:rsidR="00BC3653">
              <w:rPr>
                <w:rFonts w:ascii="Aptos" w:hAnsi="Aptos"/>
                <w:sz w:val="24"/>
                <w:szCs w:val="24"/>
              </w:rPr>
              <w:t>6</w:t>
            </w:r>
            <w:r w:rsidRPr="00683044">
              <w:rPr>
                <w:rFonts w:ascii="Aptos" w:hAnsi="Aptos"/>
                <w:sz w:val="24"/>
                <w:szCs w:val="24"/>
              </w:rPr>
              <w:t>00 (202</w:t>
            </w:r>
            <w:r w:rsidR="00BC3653">
              <w:rPr>
                <w:rFonts w:ascii="Aptos" w:hAnsi="Aptos"/>
                <w:sz w:val="24"/>
                <w:szCs w:val="24"/>
              </w:rPr>
              <w:t>5</w:t>
            </w:r>
            <w:r w:rsidRPr="00683044">
              <w:rPr>
                <w:rFonts w:ascii="Aptos" w:hAnsi="Aptos"/>
                <w:sz w:val="24"/>
                <w:szCs w:val="24"/>
              </w:rPr>
              <w:t>)</w:t>
            </w:r>
          </w:p>
        </w:tc>
      </w:tr>
      <w:tr w:rsidR="00E74526" w:rsidRPr="00683044" w14:paraId="6853EFED" w14:textId="77777777" w:rsidTr="00E74526">
        <w:trPr>
          <w:trHeight w:val="376"/>
        </w:trPr>
        <w:tc>
          <w:tcPr>
            <w:tcW w:w="1945" w:type="dxa"/>
            <w:tcBorders>
              <w:top w:val="nil"/>
              <w:right w:val="single" w:sz="12" w:space="0" w:color="231F20"/>
            </w:tcBorders>
          </w:tcPr>
          <w:p w14:paraId="6853EFEA" w14:textId="77777777" w:rsidR="00850618" w:rsidRPr="00683044" w:rsidRDefault="0077489B" w:rsidP="00683044">
            <w:pPr>
              <w:rPr>
                <w:rFonts w:ascii="Aptos" w:hAnsi="Aptos"/>
                <w:sz w:val="24"/>
                <w:szCs w:val="24"/>
              </w:rPr>
            </w:pPr>
            <w:r w:rsidRPr="00683044">
              <w:rPr>
                <w:rFonts w:ascii="Aptos" w:hAnsi="Aptos"/>
                <w:sz w:val="24"/>
                <w:szCs w:val="24"/>
              </w:rPr>
              <w:t>Coverage</w:t>
            </w:r>
            <w:r w:rsidRPr="00A819B5">
              <w:rPr>
                <w:rFonts w:ascii="Aptos" w:hAnsi="Aptos"/>
                <w:sz w:val="24"/>
                <w:szCs w:val="24"/>
                <w:vertAlign w:val="superscript"/>
              </w:rPr>
              <w:t>1</w:t>
            </w:r>
          </w:p>
        </w:tc>
        <w:tc>
          <w:tcPr>
            <w:tcW w:w="2250" w:type="dxa"/>
            <w:tcBorders>
              <w:top w:val="nil"/>
              <w:left w:val="single" w:sz="12" w:space="0" w:color="231F20"/>
              <w:right w:val="single" w:sz="12" w:space="0" w:color="231F20"/>
            </w:tcBorders>
          </w:tcPr>
          <w:p w14:paraId="6853EFEB" w14:textId="3D5C0C0E" w:rsidR="00850618" w:rsidRPr="00683044" w:rsidRDefault="0077489B" w:rsidP="00683044">
            <w:pPr>
              <w:rPr>
                <w:rFonts w:ascii="Aptos" w:hAnsi="Aptos"/>
                <w:sz w:val="24"/>
                <w:szCs w:val="24"/>
              </w:rPr>
            </w:pPr>
            <w:r w:rsidRPr="00683044">
              <w:rPr>
                <w:rFonts w:ascii="Aptos" w:hAnsi="Aptos"/>
                <w:sz w:val="24"/>
                <w:szCs w:val="24"/>
              </w:rPr>
              <w:t>$3,</w:t>
            </w:r>
            <w:r w:rsidR="00A819B5">
              <w:rPr>
                <w:rFonts w:ascii="Aptos" w:hAnsi="Aptos"/>
                <w:sz w:val="24"/>
                <w:szCs w:val="24"/>
              </w:rPr>
              <w:t>2</w:t>
            </w:r>
            <w:r w:rsidRPr="00683044">
              <w:rPr>
                <w:rFonts w:ascii="Aptos" w:hAnsi="Aptos"/>
                <w:sz w:val="24"/>
                <w:szCs w:val="24"/>
              </w:rPr>
              <w:t>00 (202</w:t>
            </w:r>
            <w:r w:rsidR="00A819B5">
              <w:rPr>
                <w:rFonts w:ascii="Aptos" w:hAnsi="Aptos"/>
                <w:sz w:val="24"/>
                <w:szCs w:val="24"/>
              </w:rPr>
              <w:t>4</w:t>
            </w:r>
            <w:r w:rsidRPr="00683044">
              <w:rPr>
                <w:rFonts w:ascii="Aptos" w:hAnsi="Aptos"/>
                <w:sz w:val="24"/>
                <w:szCs w:val="24"/>
              </w:rPr>
              <w:t>)</w:t>
            </w:r>
          </w:p>
        </w:tc>
        <w:tc>
          <w:tcPr>
            <w:tcW w:w="3330" w:type="dxa"/>
            <w:tcBorders>
              <w:top w:val="nil"/>
              <w:left w:val="single" w:sz="12" w:space="0" w:color="231F20"/>
            </w:tcBorders>
          </w:tcPr>
          <w:p w14:paraId="6853EFEC" w14:textId="2D9A34ED" w:rsidR="00850618" w:rsidRPr="00683044" w:rsidRDefault="0077489B" w:rsidP="00683044">
            <w:pPr>
              <w:rPr>
                <w:rFonts w:ascii="Aptos" w:hAnsi="Aptos"/>
                <w:sz w:val="24"/>
                <w:szCs w:val="24"/>
              </w:rPr>
            </w:pPr>
            <w:r w:rsidRPr="00683044">
              <w:rPr>
                <w:rFonts w:ascii="Aptos" w:hAnsi="Aptos"/>
                <w:sz w:val="24"/>
                <w:szCs w:val="24"/>
              </w:rPr>
              <w:t>$</w:t>
            </w:r>
            <w:r w:rsidR="00A819B5" w:rsidRPr="00683044">
              <w:rPr>
                <w:rFonts w:ascii="Aptos" w:hAnsi="Aptos"/>
                <w:sz w:val="24"/>
                <w:szCs w:val="24"/>
              </w:rPr>
              <w:t>16,</w:t>
            </w:r>
            <w:r w:rsidR="00A819B5">
              <w:rPr>
                <w:rFonts w:ascii="Aptos" w:hAnsi="Aptos"/>
                <w:sz w:val="24"/>
                <w:szCs w:val="24"/>
              </w:rPr>
              <w:t>1</w:t>
            </w:r>
            <w:r w:rsidR="00A819B5" w:rsidRPr="00683044">
              <w:rPr>
                <w:rFonts w:ascii="Aptos" w:hAnsi="Aptos"/>
                <w:sz w:val="24"/>
                <w:szCs w:val="24"/>
              </w:rPr>
              <w:t>00</w:t>
            </w:r>
            <w:r w:rsidRPr="00683044">
              <w:rPr>
                <w:rFonts w:ascii="Aptos" w:hAnsi="Aptos"/>
                <w:sz w:val="24"/>
                <w:szCs w:val="24"/>
              </w:rPr>
              <w:t xml:space="preserve"> (202</w:t>
            </w:r>
            <w:r w:rsidR="00A819B5">
              <w:rPr>
                <w:rFonts w:ascii="Aptos" w:hAnsi="Aptos"/>
                <w:sz w:val="24"/>
                <w:szCs w:val="24"/>
              </w:rPr>
              <w:t>4</w:t>
            </w:r>
            <w:r w:rsidRPr="00683044">
              <w:rPr>
                <w:rFonts w:ascii="Aptos" w:hAnsi="Aptos"/>
                <w:sz w:val="24"/>
                <w:szCs w:val="24"/>
              </w:rPr>
              <w:t>)</w:t>
            </w:r>
          </w:p>
        </w:tc>
      </w:tr>
    </w:tbl>
    <w:p w14:paraId="6853EFEE" w14:textId="77777777" w:rsidR="00850618" w:rsidRPr="00683044" w:rsidRDefault="00850618" w:rsidP="00683044">
      <w:pPr>
        <w:rPr>
          <w:rFonts w:ascii="Aptos" w:hAnsi="Aptos"/>
          <w:sz w:val="24"/>
          <w:szCs w:val="24"/>
        </w:rPr>
      </w:pPr>
    </w:p>
    <w:p w14:paraId="6853EFEF" w14:textId="77777777" w:rsidR="00850618" w:rsidRPr="00683044" w:rsidRDefault="0077489B" w:rsidP="00683044">
      <w:pPr>
        <w:rPr>
          <w:rFonts w:ascii="Aptos" w:hAnsi="Aptos"/>
          <w:sz w:val="24"/>
          <w:szCs w:val="24"/>
        </w:rPr>
      </w:pPr>
      <w:r w:rsidRPr="00683044">
        <w:rPr>
          <w:rFonts w:ascii="Aptos" w:hAnsi="Aptos"/>
          <w:sz w:val="24"/>
          <w:szCs w:val="24"/>
        </w:rPr>
        <w:t>CONTRIBUTION LIMITS</w:t>
      </w:r>
    </w:p>
    <w:p w14:paraId="019C92EA" w14:textId="77777777" w:rsidR="00DA3DB5" w:rsidRDefault="00DA3DB5" w:rsidP="00683044">
      <w:pPr>
        <w:rPr>
          <w:rFonts w:ascii="Aptos" w:hAnsi="Aptos"/>
          <w:sz w:val="24"/>
          <w:szCs w:val="24"/>
        </w:rPr>
      </w:pPr>
    </w:p>
    <w:p w14:paraId="6853EFF0" w14:textId="2EED3BC1" w:rsidR="00850618" w:rsidRPr="00683044" w:rsidRDefault="0077489B" w:rsidP="00683044">
      <w:pPr>
        <w:rPr>
          <w:rFonts w:ascii="Aptos" w:hAnsi="Aptos"/>
          <w:sz w:val="24"/>
          <w:szCs w:val="24"/>
        </w:rPr>
      </w:pPr>
      <w:r w:rsidRPr="00683044">
        <w:rPr>
          <w:rFonts w:ascii="Aptos" w:hAnsi="Aptos"/>
          <w:sz w:val="24"/>
          <w:szCs w:val="24"/>
        </w:rPr>
        <w:t>The maximum amount you may contribute to an HSA depends on whether your HDHP is self-only coverage or family coverage.</w:t>
      </w:r>
      <w:r w:rsidR="00893DE6" w:rsidRPr="00893DE6">
        <w:rPr>
          <w:rFonts w:ascii="Aptos" w:hAnsi="Aptos"/>
          <w:sz w:val="24"/>
          <w:szCs w:val="24"/>
          <w:vertAlign w:val="superscript"/>
        </w:rPr>
        <w:t>1</w:t>
      </w:r>
    </w:p>
    <w:p w14:paraId="6853EFF1" w14:textId="77777777" w:rsidR="00850618" w:rsidRPr="00683044" w:rsidRDefault="00850618" w:rsidP="00683044">
      <w:pPr>
        <w:rPr>
          <w:rFonts w:ascii="Aptos" w:hAnsi="Aptos"/>
          <w:sz w:val="24"/>
          <w:szCs w:val="24"/>
        </w:rPr>
      </w:pPr>
    </w:p>
    <w:tbl>
      <w:tblPr>
        <w:tblW w:w="0" w:type="auto"/>
        <w:tblInd w:w="3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0"/>
        <w:gridCol w:w="1930"/>
        <w:gridCol w:w="1930"/>
      </w:tblGrid>
      <w:tr w:rsidR="00E12F11" w:rsidRPr="00683044" w14:paraId="6853EFF3" w14:textId="77777777" w:rsidTr="00E74526">
        <w:trPr>
          <w:trHeight w:val="393"/>
        </w:trPr>
        <w:tc>
          <w:tcPr>
            <w:tcW w:w="5210" w:type="dxa"/>
            <w:gridSpan w:val="3"/>
            <w:shd w:val="clear" w:color="auto" w:fill="184275"/>
          </w:tcPr>
          <w:p w14:paraId="6853EFF2" w14:textId="77777777" w:rsidR="00850618" w:rsidRPr="00683044" w:rsidRDefault="0077489B" w:rsidP="00683044">
            <w:pPr>
              <w:rPr>
                <w:rFonts w:ascii="Aptos" w:hAnsi="Aptos"/>
                <w:sz w:val="24"/>
                <w:szCs w:val="24"/>
              </w:rPr>
            </w:pPr>
            <w:r w:rsidRPr="00683044">
              <w:rPr>
                <w:rFonts w:ascii="Aptos" w:hAnsi="Aptos"/>
                <w:sz w:val="24"/>
                <w:szCs w:val="24"/>
              </w:rPr>
              <w:t>Annual Contribution Limits</w:t>
            </w:r>
          </w:p>
        </w:tc>
      </w:tr>
      <w:tr w:rsidR="00E12F11" w:rsidRPr="00683044" w14:paraId="6853EFF7" w14:textId="77777777" w:rsidTr="00E74526">
        <w:trPr>
          <w:trHeight w:val="355"/>
        </w:trPr>
        <w:tc>
          <w:tcPr>
            <w:tcW w:w="1350" w:type="dxa"/>
            <w:tcBorders>
              <w:bottom w:val="nil"/>
              <w:right w:val="single" w:sz="12" w:space="0" w:color="231F20"/>
            </w:tcBorders>
          </w:tcPr>
          <w:p w14:paraId="6853EFF4" w14:textId="77777777" w:rsidR="00850618" w:rsidRPr="00683044" w:rsidRDefault="00850618" w:rsidP="00683044">
            <w:pPr>
              <w:rPr>
                <w:rFonts w:ascii="Aptos" w:hAnsi="Aptos"/>
                <w:sz w:val="24"/>
                <w:szCs w:val="24"/>
              </w:rPr>
            </w:pPr>
          </w:p>
        </w:tc>
        <w:tc>
          <w:tcPr>
            <w:tcW w:w="1930" w:type="dxa"/>
            <w:tcBorders>
              <w:left w:val="single" w:sz="12" w:space="0" w:color="231F20"/>
              <w:bottom w:val="nil"/>
              <w:right w:val="single" w:sz="12" w:space="0" w:color="231F20"/>
            </w:tcBorders>
          </w:tcPr>
          <w:p w14:paraId="6853EFF5" w14:textId="77777777" w:rsidR="00850618" w:rsidRPr="00683044" w:rsidRDefault="0077489B" w:rsidP="00683044">
            <w:pPr>
              <w:rPr>
                <w:rFonts w:ascii="Aptos" w:hAnsi="Aptos"/>
                <w:sz w:val="24"/>
                <w:szCs w:val="24"/>
              </w:rPr>
            </w:pPr>
            <w:r w:rsidRPr="00683044">
              <w:rPr>
                <w:rFonts w:ascii="Aptos" w:hAnsi="Aptos"/>
                <w:sz w:val="24"/>
                <w:szCs w:val="24"/>
              </w:rPr>
              <w:t>Self-Only Coverage</w:t>
            </w:r>
          </w:p>
        </w:tc>
        <w:tc>
          <w:tcPr>
            <w:tcW w:w="1930" w:type="dxa"/>
            <w:tcBorders>
              <w:left w:val="single" w:sz="12" w:space="0" w:color="231F20"/>
              <w:bottom w:val="nil"/>
            </w:tcBorders>
          </w:tcPr>
          <w:p w14:paraId="6853EFF6" w14:textId="77777777" w:rsidR="00850618" w:rsidRPr="00683044" w:rsidRDefault="0077489B" w:rsidP="00683044">
            <w:pPr>
              <w:rPr>
                <w:rFonts w:ascii="Aptos" w:hAnsi="Aptos"/>
                <w:sz w:val="24"/>
                <w:szCs w:val="24"/>
              </w:rPr>
            </w:pPr>
            <w:r w:rsidRPr="00683044">
              <w:rPr>
                <w:rFonts w:ascii="Aptos" w:hAnsi="Aptos"/>
                <w:sz w:val="24"/>
                <w:szCs w:val="24"/>
              </w:rPr>
              <w:t>Family Coverage</w:t>
            </w:r>
            <w:r w:rsidRPr="000E75ED">
              <w:rPr>
                <w:rFonts w:ascii="Aptos" w:hAnsi="Aptos"/>
                <w:sz w:val="24"/>
                <w:szCs w:val="24"/>
                <w:vertAlign w:val="superscript"/>
              </w:rPr>
              <w:t>1</w:t>
            </w:r>
          </w:p>
        </w:tc>
      </w:tr>
      <w:tr w:rsidR="00E12F11" w:rsidRPr="00683044" w14:paraId="6853EFFB" w14:textId="77777777" w:rsidTr="00E74526">
        <w:trPr>
          <w:trHeight w:val="360"/>
        </w:trPr>
        <w:tc>
          <w:tcPr>
            <w:tcW w:w="1350" w:type="dxa"/>
            <w:tcBorders>
              <w:top w:val="nil"/>
              <w:bottom w:val="nil"/>
              <w:right w:val="single" w:sz="12" w:space="0" w:color="231F20"/>
            </w:tcBorders>
            <w:shd w:val="clear" w:color="auto" w:fill="D1D3D4"/>
          </w:tcPr>
          <w:p w14:paraId="6853EFF8" w14:textId="7C1C1E66" w:rsidR="00850618" w:rsidRPr="00683044" w:rsidRDefault="0077489B" w:rsidP="00683044">
            <w:pPr>
              <w:rPr>
                <w:rFonts w:ascii="Aptos" w:hAnsi="Aptos"/>
                <w:sz w:val="24"/>
                <w:szCs w:val="24"/>
              </w:rPr>
            </w:pPr>
            <w:r w:rsidRPr="00683044">
              <w:rPr>
                <w:rFonts w:ascii="Aptos" w:hAnsi="Aptos"/>
                <w:sz w:val="24"/>
                <w:szCs w:val="24"/>
              </w:rPr>
              <w:t>202</w:t>
            </w:r>
            <w:r w:rsidR="00C45BBC">
              <w:rPr>
                <w:rFonts w:ascii="Aptos" w:hAnsi="Aptos"/>
                <w:sz w:val="24"/>
                <w:szCs w:val="24"/>
              </w:rPr>
              <w:t>5</w:t>
            </w:r>
          </w:p>
        </w:tc>
        <w:tc>
          <w:tcPr>
            <w:tcW w:w="1930" w:type="dxa"/>
            <w:tcBorders>
              <w:top w:val="nil"/>
              <w:left w:val="single" w:sz="12" w:space="0" w:color="231F20"/>
              <w:bottom w:val="nil"/>
              <w:right w:val="single" w:sz="12" w:space="0" w:color="231F20"/>
            </w:tcBorders>
            <w:shd w:val="clear" w:color="auto" w:fill="D1D3D4"/>
          </w:tcPr>
          <w:p w14:paraId="6853EFF9" w14:textId="1FEDE32A" w:rsidR="00850618" w:rsidRPr="00683044" w:rsidRDefault="0077489B" w:rsidP="00683044">
            <w:pPr>
              <w:rPr>
                <w:rFonts w:ascii="Aptos" w:hAnsi="Aptos"/>
                <w:sz w:val="24"/>
                <w:szCs w:val="24"/>
              </w:rPr>
            </w:pPr>
            <w:r w:rsidRPr="00683044">
              <w:rPr>
                <w:rFonts w:ascii="Aptos" w:hAnsi="Aptos"/>
                <w:sz w:val="24"/>
                <w:szCs w:val="24"/>
              </w:rPr>
              <w:t>$4,</w:t>
            </w:r>
            <w:r w:rsidR="00970811">
              <w:rPr>
                <w:rFonts w:ascii="Aptos" w:hAnsi="Aptos"/>
                <w:sz w:val="24"/>
                <w:szCs w:val="24"/>
              </w:rPr>
              <w:t>300</w:t>
            </w:r>
          </w:p>
        </w:tc>
        <w:tc>
          <w:tcPr>
            <w:tcW w:w="1930" w:type="dxa"/>
            <w:tcBorders>
              <w:top w:val="nil"/>
              <w:left w:val="single" w:sz="12" w:space="0" w:color="231F20"/>
              <w:bottom w:val="nil"/>
            </w:tcBorders>
            <w:shd w:val="clear" w:color="auto" w:fill="D1D3D4"/>
          </w:tcPr>
          <w:p w14:paraId="6853EFFA" w14:textId="25307238" w:rsidR="00850618" w:rsidRPr="00683044" w:rsidRDefault="0077489B" w:rsidP="00683044">
            <w:pPr>
              <w:rPr>
                <w:rFonts w:ascii="Aptos" w:hAnsi="Aptos"/>
                <w:sz w:val="24"/>
                <w:szCs w:val="24"/>
              </w:rPr>
            </w:pPr>
            <w:r w:rsidRPr="00683044">
              <w:rPr>
                <w:rFonts w:ascii="Aptos" w:hAnsi="Aptos"/>
                <w:sz w:val="24"/>
                <w:szCs w:val="24"/>
              </w:rPr>
              <w:t>$8,</w:t>
            </w:r>
            <w:r w:rsidR="00970811">
              <w:rPr>
                <w:rFonts w:ascii="Aptos" w:hAnsi="Aptos"/>
                <w:sz w:val="24"/>
                <w:szCs w:val="24"/>
              </w:rPr>
              <w:t>55</w:t>
            </w:r>
            <w:r w:rsidRPr="00683044">
              <w:rPr>
                <w:rFonts w:ascii="Aptos" w:hAnsi="Aptos"/>
                <w:sz w:val="24"/>
                <w:szCs w:val="24"/>
              </w:rPr>
              <w:t>0</w:t>
            </w:r>
          </w:p>
        </w:tc>
      </w:tr>
      <w:tr w:rsidR="00C45BBC" w:rsidRPr="00683044" w14:paraId="6853EFFF" w14:textId="77777777" w:rsidTr="00E74526">
        <w:trPr>
          <w:trHeight w:val="354"/>
        </w:trPr>
        <w:tc>
          <w:tcPr>
            <w:tcW w:w="1350" w:type="dxa"/>
            <w:tcBorders>
              <w:top w:val="nil"/>
              <w:right w:val="single" w:sz="12" w:space="0" w:color="231F20"/>
            </w:tcBorders>
          </w:tcPr>
          <w:p w14:paraId="6853EFFC" w14:textId="38455639" w:rsidR="00C45BBC" w:rsidRPr="00683044" w:rsidRDefault="00C45BBC" w:rsidP="00C45BBC">
            <w:pPr>
              <w:rPr>
                <w:rFonts w:ascii="Aptos" w:hAnsi="Aptos"/>
                <w:sz w:val="24"/>
                <w:szCs w:val="24"/>
              </w:rPr>
            </w:pPr>
            <w:r w:rsidRPr="00683044">
              <w:rPr>
                <w:rFonts w:ascii="Aptos" w:hAnsi="Aptos"/>
                <w:sz w:val="24"/>
                <w:szCs w:val="24"/>
              </w:rPr>
              <w:t>2024</w:t>
            </w:r>
          </w:p>
        </w:tc>
        <w:tc>
          <w:tcPr>
            <w:tcW w:w="1930" w:type="dxa"/>
            <w:tcBorders>
              <w:top w:val="nil"/>
              <w:left w:val="single" w:sz="12" w:space="0" w:color="231F20"/>
              <w:right w:val="single" w:sz="12" w:space="0" w:color="231F20"/>
            </w:tcBorders>
          </w:tcPr>
          <w:p w14:paraId="6853EFFD" w14:textId="2557C16F" w:rsidR="00C45BBC" w:rsidRPr="00683044" w:rsidRDefault="00C45BBC" w:rsidP="00C45BBC">
            <w:pPr>
              <w:rPr>
                <w:rFonts w:ascii="Aptos" w:hAnsi="Aptos"/>
                <w:sz w:val="24"/>
                <w:szCs w:val="24"/>
              </w:rPr>
            </w:pPr>
            <w:r w:rsidRPr="00683044">
              <w:rPr>
                <w:rFonts w:ascii="Aptos" w:hAnsi="Aptos"/>
                <w:sz w:val="24"/>
                <w:szCs w:val="24"/>
              </w:rPr>
              <w:t>$4,150</w:t>
            </w:r>
          </w:p>
        </w:tc>
        <w:tc>
          <w:tcPr>
            <w:tcW w:w="1930" w:type="dxa"/>
            <w:tcBorders>
              <w:top w:val="nil"/>
              <w:left w:val="single" w:sz="12" w:space="0" w:color="231F20"/>
            </w:tcBorders>
          </w:tcPr>
          <w:p w14:paraId="6853EFFE" w14:textId="6BBD9E28" w:rsidR="00C45BBC" w:rsidRPr="00683044" w:rsidRDefault="00C45BBC" w:rsidP="00C45BBC">
            <w:pPr>
              <w:rPr>
                <w:rFonts w:ascii="Aptos" w:hAnsi="Aptos"/>
                <w:sz w:val="24"/>
                <w:szCs w:val="24"/>
              </w:rPr>
            </w:pPr>
            <w:r w:rsidRPr="00683044">
              <w:rPr>
                <w:rFonts w:ascii="Aptos" w:hAnsi="Aptos"/>
                <w:sz w:val="24"/>
                <w:szCs w:val="24"/>
              </w:rPr>
              <w:t>$8,300</w:t>
            </w:r>
          </w:p>
        </w:tc>
      </w:tr>
    </w:tbl>
    <w:p w14:paraId="6853F000" w14:textId="77777777" w:rsidR="00850618" w:rsidRPr="00683044" w:rsidRDefault="00850618" w:rsidP="00683044">
      <w:pPr>
        <w:rPr>
          <w:rFonts w:ascii="Aptos" w:hAnsi="Aptos"/>
          <w:sz w:val="24"/>
          <w:szCs w:val="24"/>
        </w:rPr>
      </w:pPr>
    </w:p>
    <w:p w14:paraId="6853F001" w14:textId="77777777" w:rsidR="00850618" w:rsidRPr="00683044" w:rsidRDefault="0077489B" w:rsidP="00683044">
      <w:pPr>
        <w:rPr>
          <w:rFonts w:ascii="Aptos" w:hAnsi="Aptos"/>
          <w:sz w:val="24"/>
          <w:szCs w:val="24"/>
        </w:rPr>
      </w:pPr>
      <w:r w:rsidRPr="00683044">
        <w:rPr>
          <w:rFonts w:ascii="Aptos" w:hAnsi="Aptos"/>
          <w:sz w:val="24"/>
          <w:szCs w:val="24"/>
        </w:rPr>
        <w:t>CATCH-UP CONTRIBUTIONS</w:t>
      </w:r>
    </w:p>
    <w:p w14:paraId="5A1F75AE" w14:textId="77777777" w:rsidR="00DA3DB5" w:rsidRDefault="00DA3DB5" w:rsidP="00683044">
      <w:pPr>
        <w:rPr>
          <w:rFonts w:ascii="Aptos" w:hAnsi="Aptos"/>
          <w:sz w:val="24"/>
          <w:szCs w:val="24"/>
        </w:rPr>
      </w:pPr>
    </w:p>
    <w:p w14:paraId="6853F002" w14:textId="6EBCC005" w:rsidR="00850618" w:rsidRPr="00683044" w:rsidRDefault="0077489B" w:rsidP="00683044">
      <w:pPr>
        <w:rPr>
          <w:rFonts w:ascii="Aptos" w:hAnsi="Aptos"/>
          <w:sz w:val="24"/>
          <w:szCs w:val="24"/>
        </w:rPr>
      </w:pPr>
      <w:r w:rsidRPr="00683044">
        <w:rPr>
          <w:rFonts w:ascii="Aptos" w:hAnsi="Aptos"/>
          <w:sz w:val="24"/>
          <w:szCs w:val="24"/>
        </w:rPr>
        <w:t>In addition to the annual contribution limit, you are permitted to make additional “catch up” contributions of up to $1,000 per year if you are age 55 or older before the close of the tax year.</w:t>
      </w:r>
    </w:p>
    <w:p w14:paraId="6853F003" w14:textId="77777777" w:rsidR="00850618" w:rsidRPr="00683044" w:rsidRDefault="00850618" w:rsidP="00683044">
      <w:pPr>
        <w:rPr>
          <w:rFonts w:ascii="Aptos" w:hAnsi="Aptos"/>
          <w:sz w:val="24"/>
          <w:szCs w:val="24"/>
        </w:rPr>
      </w:pPr>
    </w:p>
    <w:p w14:paraId="6853F004" w14:textId="02A870BA" w:rsidR="00850618" w:rsidRPr="00683044" w:rsidRDefault="0077489B" w:rsidP="00683044">
      <w:pPr>
        <w:rPr>
          <w:rFonts w:ascii="Aptos" w:hAnsi="Aptos"/>
          <w:sz w:val="24"/>
          <w:szCs w:val="24"/>
        </w:rPr>
      </w:pPr>
      <w:r w:rsidRPr="00683044">
        <w:rPr>
          <w:rFonts w:ascii="Aptos" w:hAnsi="Aptos"/>
          <w:sz w:val="24"/>
          <w:szCs w:val="24"/>
        </w:rPr>
        <w:t>PARTIAL YEAR ELIGIBILITY</w:t>
      </w:r>
    </w:p>
    <w:p w14:paraId="069738D9" w14:textId="77777777" w:rsidR="00DA3DB5" w:rsidRDefault="00DA3DB5" w:rsidP="00683044">
      <w:pPr>
        <w:rPr>
          <w:rFonts w:ascii="Aptos" w:hAnsi="Aptos"/>
          <w:sz w:val="24"/>
          <w:szCs w:val="24"/>
        </w:rPr>
      </w:pPr>
    </w:p>
    <w:p w14:paraId="6853F005" w14:textId="03F26EF4" w:rsidR="00850618" w:rsidRPr="00683044" w:rsidRDefault="0077489B" w:rsidP="00683044">
      <w:pPr>
        <w:rPr>
          <w:rFonts w:ascii="Aptos" w:hAnsi="Aptos"/>
          <w:sz w:val="24"/>
          <w:szCs w:val="24"/>
        </w:rPr>
      </w:pPr>
      <w:r w:rsidRPr="00683044">
        <w:rPr>
          <w:rFonts w:ascii="Aptos" w:hAnsi="Aptos"/>
          <w:sz w:val="24"/>
          <w:szCs w:val="24"/>
        </w:rPr>
        <w:t>If you are only covered by an HDHP for a portion of the year, or if you change HDHP coverage types (i.e., family coverage to self-only coverage or vice versa), your contribution limit for the year is prorated based on the number of months of eligibility and the type(s) of coverage, unless you qualify for the “Last-Month Rule.” For assistance in determining your maximum contribution limit for a partial year of eligibility, you should consult a tax advisor.</w:t>
      </w:r>
    </w:p>
    <w:p w14:paraId="482E4C49" w14:textId="77777777" w:rsidR="00DA3DB5" w:rsidRDefault="00DA3DB5" w:rsidP="00683044">
      <w:pPr>
        <w:rPr>
          <w:rFonts w:ascii="Aptos" w:hAnsi="Aptos"/>
          <w:sz w:val="24"/>
          <w:szCs w:val="24"/>
        </w:rPr>
      </w:pPr>
    </w:p>
    <w:p w14:paraId="6853F006" w14:textId="726C84C4" w:rsidR="00850618" w:rsidRPr="00465822" w:rsidRDefault="0077489B" w:rsidP="00683044">
      <w:pPr>
        <w:rPr>
          <w:rFonts w:ascii="Aptos" w:hAnsi="Aptos"/>
          <w:i/>
          <w:iCs/>
          <w:sz w:val="24"/>
          <w:szCs w:val="24"/>
        </w:rPr>
      </w:pPr>
      <w:r w:rsidRPr="00465822">
        <w:rPr>
          <w:rFonts w:ascii="Aptos" w:hAnsi="Aptos"/>
          <w:i/>
          <w:iCs/>
          <w:sz w:val="24"/>
          <w:szCs w:val="24"/>
        </w:rPr>
        <w:t>Last-Month Rule</w:t>
      </w:r>
    </w:p>
    <w:p w14:paraId="67D0C828" w14:textId="77777777" w:rsidR="00E74526" w:rsidRPr="00683044" w:rsidRDefault="00E74526" w:rsidP="00683044">
      <w:pPr>
        <w:rPr>
          <w:rFonts w:ascii="Aptos" w:hAnsi="Aptos"/>
          <w:sz w:val="24"/>
          <w:szCs w:val="24"/>
        </w:rPr>
      </w:pPr>
    </w:p>
    <w:p w14:paraId="6853F007" w14:textId="05B4C562" w:rsidR="00850618" w:rsidRPr="00465822" w:rsidRDefault="0077489B" w:rsidP="00683044">
      <w:pPr>
        <w:rPr>
          <w:rFonts w:ascii="Aptos" w:hAnsi="Aptos"/>
          <w:i/>
          <w:iCs/>
          <w:sz w:val="24"/>
          <w:szCs w:val="24"/>
        </w:rPr>
      </w:pPr>
      <w:r w:rsidRPr="00465822">
        <w:rPr>
          <w:rFonts w:ascii="Aptos" w:hAnsi="Aptos"/>
          <w:i/>
          <w:iCs/>
          <w:sz w:val="24"/>
          <w:szCs w:val="24"/>
        </w:rPr>
        <w:t>If you are not eligible to contribute for an entire calendar year, or change</w:t>
      </w:r>
      <w:r w:rsidR="0073471D" w:rsidRPr="00465822">
        <w:rPr>
          <w:rFonts w:ascii="Aptos" w:hAnsi="Aptos"/>
          <w:i/>
          <w:iCs/>
          <w:sz w:val="24"/>
          <w:szCs w:val="24"/>
        </w:rPr>
        <w:t xml:space="preserve"> coverage type during the year, but you are eligible to contribute to an HSA on December 1 of the contribution year</w:t>
      </w:r>
      <w:r w:rsidR="007E28F0">
        <w:rPr>
          <w:rFonts w:ascii="Aptos" w:hAnsi="Aptos"/>
          <w:i/>
          <w:iCs/>
          <w:sz w:val="24"/>
          <w:szCs w:val="24"/>
        </w:rPr>
        <w:t>,</w:t>
      </w:r>
      <w:r w:rsidR="007E28F0" w:rsidRPr="007E28F0">
        <w:rPr>
          <w:rFonts w:ascii="Aptos" w:hAnsi="Aptos"/>
          <w:i/>
          <w:iCs/>
          <w:sz w:val="24"/>
          <w:szCs w:val="24"/>
          <w:vertAlign w:val="superscript"/>
        </w:rPr>
        <w:t>2</w:t>
      </w:r>
      <w:r w:rsidR="007E28F0">
        <w:rPr>
          <w:rFonts w:ascii="Aptos" w:hAnsi="Aptos"/>
          <w:i/>
          <w:iCs/>
          <w:sz w:val="24"/>
          <w:szCs w:val="24"/>
        </w:rPr>
        <w:t xml:space="preserve"> </w:t>
      </w:r>
      <w:r w:rsidR="0073471D" w:rsidRPr="00465822">
        <w:rPr>
          <w:rFonts w:ascii="Aptos" w:hAnsi="Aptos"/>
          <w:i/>
          <w:iCs/>
          <w:sz w:val="24"/>
          <w:szCs w:val="24"/>
        </w:rPr>
        <w:t>you may be eligible to contribute a full year’s contribution based on your coverage type on December 1 if that contribution amount is more than a prorated contribution for the year based on your actual year of eligibility.</w:t>
      </w:r>
    </w:p>
    <w:p w14:paraId="49FAD29F" w14:textId="77777777" w:rsidR="0073471D" w:rsidRPr="00683044" w:rsidRDefault="0073471D" w:rsidP="00683044">
      <w:pPr>
        <w:rPr>
          <w:rFonts w:ascii="Aptos" w:hAnsi="Aptos"/>
          <w:sz w:val="24"/>
          <w:szCs w:val="24"/>
        </w:rPr>
      </w:pPr>
    </w:p>
    <w:p w14:paraId="6853F008" w14:textId="655ED89A" w:rsidR="00850618" w:rsidRDefault="0077489B" w:rsidP="00683044">
      <w:pPr>
        <w:rPr>
          <w:rFonts w:ascii="Aptos" w:hAnsi="Aptos"/>
          <w:sz w:val="24"/>
          <w:szCs w:val="24"/>
        </w:rPr>
      </w:pPr>
      <w:r w:rsidRPr="00683044">
        <w:rPr>
          <w:rFonts w:ascii="Aptos" w:hAnsi="Aptos"/>
          <w:sz w:val="24"/>
          <w:szCs w:val="24"/>
        </w:rPr>
        <w:t>SPECIAL RULES FOR FAMILY COVERAGE</w:t>
      </w:r>
    </w:p>
    <w:p w14:paraId="1707D99C" w14:textId="77777777" w:rsidR="00465822" w:rsidRPr="00683044" w:rsidRDefault="00465822" w:rsidP="00683044">
      <w:pPr>
        <w:rPr>
          <w:rFonts w:ascii="Aptos" w:hAnsi="Aptos"/>
          <w:sz w:val="24"/>
          <w:szCs w:val="24"/>
        </w:rPr>
      </w:pPr>
    </w:p>
    <w:p w14:paraId="6853F009" w14:textId="7F9DABE3" w:rsidR="00850618" w:rsidRPr="00465822" w:rsidRDefault="0077489B" w:rsidP="00465822">
      <w:pPr>
        <w:pStyle w:val="ListParagraph"/>
        <w:numPr>
          <w:ilvl w:val="0"/>
          <w:numId w:val="5"/>
        </w:numPr>
        <w:rPr>
          <w:rFonts w:ascii="Aptos" w:hAnsi="Aptos"/>
          <w:sz w:val="24"/>
          <w:szCs w:val="24"/>
        </w:rPr>
      </w:pPr>
      <w:r w:rsidRPr="00465822">
        <w:rPr>
          <w:rFonts w:ascii="Aptos" w:hAnsi="Aptos"/>
          <w:sz w:val="24"/>
          <w:szCs w:val="24"/>
        </w:rPr>
        <w:t>If both you and your spouse are covered under a family HDHP and are otherwise eligible, either of you (or both) may contribute to an HSA. However, your aggregate contributions as a couple cannot exceed the family coverage annual contribution limit.</w:t>
      </w:r>
    </w:p>
    <w:p w14:paraId="6853F00B" w14:textId="207C9E11" w:rsidR="00850618" w:rsidRPr="00465822" w:rsidRDefault="0077489B" w:rsidP="00465822">
      <w:pPr>
        <w:pStyle w:val="ListParagraph"/>
        <w:numPr>
          <w:ilvl w:val="0"/>
          <w:numId w:val="5"/>
        </w:numPr>
        <w:rPr>
          <w:rFonts w:ascii="Aptos" w:hAnsi="Aptos"/>
          <w:sz w:val="24"/>
          <w:szCs w:val="24"/>
        </w:rPr>
      </w:pPr>
      <w:r w:rsidRPr="00465822">
        <w:rPr>
          <w:rFonts w:ascii="Aptos" w:hAnsi="Aptos"/>
          <w:sz w:val="24"/>
          <w:szCs w:val="24"/>
        </w:rPr>
        <w:t xml:space="preserve">If you and your spouse are both </w:t>
      </w:r>
      <w:proofErr w:type="gramStart"/>
      <w:r w:rsidRPr="00465822">
        <w:rPr>
          <w:rFonts w:ascii="Aptos" w:hAnsi="Aptos"/>
          <w:sz w:val="24"/>
          <w:szCs w:val="24"/>
        </w:rPr>
        <w:t>age</w:t>
      </w:r>
      <w:proofErr w:type="gramEnd"/>
      <w:r w:rsidRPr="00465822">
        <w:rPr>
          <w:rFonts w:ascii="Aptos" w:hAnsi="Aptos"/>
          <w:sz w:val="24"/>
          <w:szCs w:val="24"/>
        </w:rPr>
        <w:t xml:space="preserve"> 55 </w:t>
      </w:r>
      <w:proofErr w:type="gramStart"/>
      <w:r w:rsidRPr="00465822">
        <w:rPr>
          <w:rFonts w:ascii="Aptos" w:hAnsi="Aptos"/>
          <w:sz w:val="24"/>
          <w:szCs w:val="24"/>
        </w:rPr>
        <w:t>or</w:t>
      </w:r>
      <w:proofErr w:type="gramEnd"/>
      <w:r w:rsidRPr="00465822">
        <w:rPr>
          <w:rFonts w:ascii="Aptos" w:hAnsi="Aptos"/>
          <w:sz w:val="24"/>
          <w:szCs w:val="24"/>
        </w:rPr>
        <w:t xml:space="preserve"> older, you may both make catch-up contributions. However, you must make your</w:t>
      </w:r>
      <w:r w:rsidR="00451616" w:rsidRPr="00465822">
        <w:rPr>
          <w:rFonts w:ascii="Aptos" w:hAnsi="Aptos"/>
          <w:sz w:val="24"/>
          <w:szCs w:val="24"/>
        </w:rPr>
        <w:t xml:space="preserve"> </w:t>
      </w:r>
      <w:r w:rsidRPr="00465822">
        <w:rPr>
          <w:rFonts w:ascii="Aptos" w:hAnsi="Aptos"/>
          <w:sz w:val="24"/>
          <w:szCs w:val="24"/>
        </w:rPr>
        <w:t>catch-up contribution to your own HSA and your spouse’s catch-up contribution must be made to your spouse’s HSA.</w:t>
      </w:r>
    </w:p>
    <w:p w14:paraId="4088B40E" w14:textId="77777777" w:rsidR="00451616" w:rsidRPr="00683044" w:rsidRDefault="00451616" w:rsidP="00683044">
      <w:pPr>
        <w:rPr>
          <w:rFonts w:ascii="Aptos" w:hAnsi="Aptos"/>
          <w:sz w:val="24"/>
          <w:szCs w:val="24"/>
        </w:rPr>
      </w:pPr>
    </w:p>
    <w:p w14:paraId="6853F00C" w14:textId="3332D7AC" w:rsidR="00850618" w:rsidRPr="00465822" w:rsidRDefault="0077489B" w:rsidP="00683044">
      <w:pPr>
        <w:rPr>
          <w:rFonts w:ascii="Aptos" w:hAnsi="Aptos"/>
          <w:i/>
          <w:iCs/>
          <w:sz w:val="24"/>
          <w:szCs w:val="24"/>
        </w:rPr>
      </w:pPr>
      <w:r w:rsidRPr="00465822">
        <w:rPr>
          <w:rFonts w:ascii="Aptos" w:hAnsi="Aptos"/>
          <w:i/>
          <w:iCs/>
          <w:sz w:val="24"/>
          <w:szCs w:val="24"/>
        </w:rPr>
        <w:t>Example</w:t>
      </w:r>
    </w:p>
    <w:p w14:paraId="0CBAC8A7" w14:textId="77777777" w:rsidR="00451616" w:rsidRPr="00465822" w:rsidRDefault="00451616" w:rsidP="00683044">
      <w:pPr>
        <w:rPr>
          <w:rFonts w:ascii="Aptos" w:hAnsi="Aptos"/>
          <w:i/>
          <w:iCs/>
          <w:sz w:val="24"/>
          <w:szCs w:val="24"/>
        </w:rPr>
      </w:pPr>
    </w:p>
    <w:p w14:paraId="6853F00E" w14:textId="7BCE3B7F" w:rsidR="00850618" w:rsidRPr="00465822" w:rsidRDefault="0077489B" w:rsidP="00683044">
      <w:pPr>
        <w:rPr>
          <w:rFonts w:ascii="Aptos" w:hAnsi="Aptos"/>
          <w:i/>
          <w:iCs/>
          <w:sz w:val="24"/>
          <w:szCs w:val="24"/>
        </w:rPr>
      </w:pPr>
      <w:r w:rsidRPr="00465822">
        <w:rPr>
          <w:rFonts w:ascii="Aptos" w:hAnsi="Aptos"/>
          <w:i/>
          <w:iCs/>
          <w:sz w:val="24"/>
          <w:szCs w:val="24"/>
        </w:rPr>
        <w:t>You have family HDHP coverage for yourself, your spouse and two children. If you and your spouse are both eligible individuals for making contributions to an HSA, you may divide the family coverage contribution limit ($8,</w:t>
      </w:r>
      <w:r w:rsidR="00FD3655">
        <w:rPr>
          <w:rFonts w:ascii="Aptos" w:hAnsi="Aptos"/>
          <w:i/>
          <w:iCs/>
          <w:sz w:val="24"/>
          <w:szCs w:val="24"/>
        </w:rPr>
        <w:t>5</w:t>
      </w:r>
      <w:r w:rsidR="009A1FC6">
        <w:rPr>
          <w:rFonts w:ascii="Aptos" w:hAnsi="Aptos"/>
          <w:i/>
          <w:iCs/>
          <w:sz w:val="24"/>
          <w:szCs w:val="24"/>
        </w:rPr>
        <w:t>5</w:t>
      </w:r>
      <w:r w:rsidRPr="00465822">
        <w:rPr>
          <w:rFonts w:ascii="Aptos" w:hAnsi="Aptos"/>
          <w:i/>
          <w:iCs/>
          <w:sz w:val="24"/>
          <w:szCs w:val="24"/>
        </w:rPr>
        <w:t>0 for 202</w:t>
      </w:r>
      <w:r w:rsidR="00FD3655">
        <w:rPr>
          <w:rFonts w:ascii="Aptos" w:hAnsi="Aptos"/>
          <w:i/>
          <w:iCs/>
          <w:sz w:val="24"/>
          <w:szCs w:val="24"/>
        </w:rPr>
        <w:t>5</w:t>
      </w:r>
      <w:r w:rsidRPr="00465822">
        <w:rPr>
          <w:rFonts w:ascii="Aptos" w:hAnsi="Aptos"/>
          <w:i/>
          <w:iCs/>
          <w:sz w:val="24"/>
          <w:szCs w:val="24"/>
        </w:rPr>
        <w:t>) any way you wish between your respective HSAs provided the aggregate contribution does not exceed $8,</w:t>
      </w:r>
      <w:r w:rsidR="009A1FC6">
        <w:rPr>
          <w:rFonts w:ascii="Aptos" w:hAnsi="Aptos"/>
          <w:i/>
          <w:iCs/>
          <w:sz w:val="24"/>
          <w:szCs w:val="24"/>
        </w:rPr>
        <w:t>55</w:t>
      </w:r>
      <w:r w:rsidRPr="00465822">
        <w:rPr>
          <w:rFonts w:ascii="Aptos" w:hAnsi="Aptos"/>
          <w:i/>
          <w:iCs/>
          <w:sz w:val="24"/>
          <w:szCs w:val="24"/>
        </w:rPr>
        <w:t>0.</w:t>
      </w:r>
      <w:r w:rsidR="00465822">
        <w:rPr>
          <w:rFonts w:ascii="Aptos" w:hAnsi="Aptos"/>
          <w:i/>
          <w:iCs/>
          <w:sz w:val="24"/>
          <w:szCs w:val="24"/>
        </w:rPr>
        <w:t xml:space="preserve"> </w:t>
      </w:r>
      <w:r w:rsidRPr="00465822">
        <w:rPr>
          <w:rFonts w:ascii="Aptos" w:hAnsi="Aptos"/>
          <w:i/>
          <w:iCs/>
          <w:sz w:val="24"/>
          <w:szCs w:val="24"/>
        </w:rPr>
        <w:t>However, if both you and your spouse are eligible for and wish to make catch-up contributions, you must each have an HSA established to receive your respective catch-up contributions (i.e., both catch-up contributions may not be made to the same spouse’s HSA).</w:t>
      </w:r>
    </w:p>
    <w:p w14:paraId="6853F00F" w14:textId="77777777" w:rsidR="00850618" w:rsidRPr="00683044" w:rsidRDefault="00850618" w:rsidP="00683044">
      <w:pPr>
        <w:rPr>
          <w:rFonts w:ascii="Aptos" w:hAnsi="Aptos"/>
          <w:sz w:val="24"/>
          <w:szCs w:val="24"/>
        </w:rPr>
      </w:pPr>
    </w:p>
    <w:p w14:paraId="6853F010" w14:textId="5ED820AB" w:rsidR="00850618" w:rsidRPr="00683044" w:rsidRDefault="0077489B" w:rsidP="00683044">
      <w:pPr>
        <w:rPr>
          <w:rFonts w:ascii="Aptos" w:hAnsi="Aptos"/>
          <w:sz w:val="24"/>
          <w:szCs w:val="24"/>
        </w:rPr>
      </w:pPr>
      <w:r w:rsidRPr="00683044">
        <w:rPr>
          <w:rFonts w:ascii="Aptos" w:hAnsi="Aptos"/>
          <w:sz w:val="24"/>
          <w:szCs w:val="24"/>
        </w:rPr>
        <w:t>CONTRIBUTION DEADLINE</w:t>
      </w:r>
    </w:p>
    <w:p w14:paraId="5A5CE961" w14:textId="77777777" w:rsidR="00451616" w:rsidRPr="00683044" w:rsidRDefault="00451616" w:rsidP="00683044">
      <w:pPr>
        <w:rPr>
          <w:rFonts w:ascii="Aptos" w:hAnsi="Aptos"/>
          <w:sz w:val="24"/>
          <w:szCs w:val="24"/>
        </w:rPr>
      </w:pPr>
    </w:p>
    <w:p w14:paraId="6853F012" w14:textId="64A8B41C" w:rsidR="00850618" w:rsidRPr="00683044" w:rsidRDefault="0077489B" w:rsidP="00683044">
      <w:pPr>
        <w:rPr>
          <w:rFonts w:ascii="Aptos" w:hAnsi="Aptos"/>
          <w:sz w:val="24"/>
          <w:szCs w:val="24"/>
        </w:rPr>
      </w:pPr>
      <w:r w:rsidRPr="00683044">
        <w:rPr>
          <w:rFonts w:ascii="Aptos" w:hAnsi="Aptos"/>
          <w:sz w:val="24"/>
          <w:szCs w:val="24"/>
        </w:rPr>
        <w:t>While you can make HSA contributions at any time throughout the year, you can also make contributions after</w:t>
      </w:r>
      <w:r w:rsidR="00451616" w:rsidRPr="00683044">
        <w:rPr>
          <w:rFonts w:ascii="Aptos" w:hAnsi="Aptos"/>
          <w:sz w:val="24"/>
          <w:szCs w:val="24"/>
        </w:rPr>
        <w:t xml:space="preserve"> </w:t>
      </w:r>
      <w:r w:rsidRPr="00683044">
        <w:rPr>
          <w:rFonts w:ascii="Aptos" w:hAnsi="Aptos"/>
          <w:sz w:val="24"/>
          <w:szCs w:val="24"/>
        </w:rPr>
        <w:t>the close of a tax year. The deadline for making HSA contributions for a tax year is your deadline for filing your federal tax return for that year, not including extensions.</w:t>
      </w:r>
    </w:p>
    <w:p w14:paraId="6853F013" w14:textId="77777777" w:rsidR="00850618" w:rsidRPr="00683044" w:rsidRDefault="00850618" w:rsidP="00683044">
      <w:pPr>
        <w:rPr>
          <w:rFonts w:ascii="Aptos" w:hAnsi="Aptos"/>
          <w:sz w:val="24"/>
          <w:szCs w:val="24"/>
        </w:rPr>
      </w:pPr>
    </w:p>
    <w:p w14:paraId="6853F014" w14:textId="246A2E0B" w:rsidR="00850618" w:rsidRPr="00683044" w:rsidRDefault="0077489B" w:rsidP="00683044">
      <w:pPr>
        <w:rPr>
          <w:rFonts w:ascii="Aptos" w:hAnsi="Aptos"/>
          <w:sz w:val="24"/>
          <w:szCs w:val="24"/>
        </w:rPr>
      </w:pPr>
      <w:r w:rsidRPr="00683044">
        <w:rPr>
          <w:rFonts w:ascii="Aptos" w:hAnsi="Aptos"/>
          <w:sz w:val="24"/>
          <w:szCs w:val="24"/>
        </w:rPr>
        <w:lastRenderedPageBreak/>
        <w:t>TAX DEDUCTIONS</w:t>
      </w:r>
    </w:p>
    <w:p w14:paraId="69C05580" w14:textId="77777777" w:rsidR="00451616" w:rsidRPr="00683044" w:rsidRDefault="00451616" w:rsidP="00683044">
      <w:pPr>
        <w:rPr>
          <w:rFonts w:ascii="Aptos" w:hAnsi="Aptos"/>
          <w:sz w:val="24"/>
          <w:szCs w:val="24"/>
        </w:rPr>
      </w:pPr>
    </w:p>
    <w:p w14:paraId="6853F016" w14:textId="6040490F" w:rsidR="00850618" w:rsidRPr="00683044" w:rsidRDefault="0077489B" w:rsidP="00683044">
      <w:pPr>
        <w:rPr>
          <w:rFonts w:ascii="Aptos" w:hAnsi="Aptos"/>
          <w:sz w:val="24"/>
          <w:szCs w:val="24"/>
        </w:rPr>
      </w:pPr>
      <w:r w:rsidRPr="00683044">
        <w:rPr>
          <w:rFonts w:ascii="Aptos" w:hAnsi="Aptos"/>
          <w:sz w:val="24"/>
          <w:szCs w:val="24"/>
        </w:rPr>
        <w:t>Contributions you make to your HSA are tax deductible, regardless of whether you itemize deductions on your</w:t>
      </w:r>
      <w:r w:rsidR="00465822">
        <w:rPr>
          <w:rFonts w:ascii="Aptos" w:hAnsi="Aptos"/>
          <w:sz w:val="24"/>
          <w:szCs w:val="24"/>
        </w:rPr>
        <w:t xml:space="preserve"> </w:t>
      </w:r>
      <w:r w:rsidRPr="00683044">
        <w:rPr>
          <w:rFonts w:ascii="Aptos" w:hAnsi="Aptos"/>
          <w:sz w:val="24"/>
          <w:szCs w:val="24"/>
        </w:rPr>
        <w:t xml:space="preserve">federal tax return. While you cannot take a tax deduction for employer contributions that are made to your HSA, </w:t>
      </w:r>
      <w:proofErr w:type="gramStart"/>
      <w:r w:rsidRPr="00683044">
        <w:rPr>
          <w:rFonts w:ascii="Aptos" w:hAnsi="Aptos"/>
          <w:sz w:val="24"/>
          <w:szCs w:val="24"/>
        </w:rPr>
        <w:t>the end result</w:t>
      </w:r>
      <w:proofErr w:type="gramEnd"/>
      <w:r w:rsidRPr="00683044">
        <w:rPr>
          <w:rFonts w:ascii="Aptos" w:hAnsi="Aptos"/>
          <w:sz w:val="24"/>
          <w:szCs w:val="24"/>
        </w:rPr>
        <w:t xml:space="preserve"> is the same, as employer HSA contributions are made on a pre-tax basis (meaning such amounts are not included in your taxable income).</w:t>
      </w:r>
    </w:p>
    <w:p w14:paraId="6853F017" w14:textId="77777777" w:rsidR="00850618" w:rsidRPr="00683044" w:rsidRDefault="00850618" w:rsidP="00683044">
      <w:pPr>
        <w:rPr>
          <w:rFonts w:ascii="Aptos" w:hAnsi="Aptos"/>
          <w:sz w:val="24"/>
          <w:szCs w:val="24"/>
        </w:rPr>
      </w:pPr>
    </w:p>
    <w:p w14:paraId="6853F018" w14:textId="18752162" w:rsidR="00850618" w:rsidRPr="00683044" w:rsidRDefault="0077489B" w:rsidP="00683044">
      <w:pPr>
        <w:rPr>
          <w:rFonts w:ascii="Aptos" w:hAnsi="Aptos"/>
          <w:sz w:val="24"/>
          <w:szCs w:val="24"/>
        </w:rPr>
      </w:pPr>
      <w:r w:rsidRPr="00683044">
        <w:rPr>
          <w:rFonts w:ascii="Aptos" w:hAnsi="Aptos"/>
          <w:sz w:val="24"/>
          <w:szCs w:val="24"/>
        </w:rPr>
        <w:t>QUALIFIED HSA FUNDING DISTRIBUTION</w:t>
      </w:r>
    </w:p>
    <w:p w14:paraId="09F48854" w14:textId="77777777" w:rsidR="002E4519" w:rsidRPr="00683044" w:rsidRDefault="002E4519" w:rsidP="00683044">
      <w:pPr>
        <w:rPr>
          <w:rFonts w:ascii="Aptos" w:hAnsi="Aptos"/>
          <w:sz w:val="24"/>
          <w:szCs w:val="24"/>
        </w:rPr>
      </w:pPr>
    </w:p>
    <w:p w14:paraId="6853F01C" w14:textId="43C825C1" w:rsidR="00042339" w:rsidRPr="00683044" w:rsidRDefault="0077489B" w:rsidP="00683044">
      <w:pPr>
        <w:rPr>
          <w:rFonts w:ascii="Aptos" w:hAnsi="Aptos"/>
          <w:sz w:val="24"/>
          <w:szCs w:val="24"/>
        </w:rPr>
      </w:pPr>
      <w:r w:rsidRPr="00683044">
        <w:rPr>
          <w:rFonts w:ascii="Aptos" w:hAnsi="Aptos"/>
          <w:sz w:val="24"/>
          <w:szCs w:val="24"/>
        </w:rPr>
        <w:t>If you have existing IRA savings and are eligible to contribute to an HSA, you are allowed a one-time</w:t>
      </w:r>
      <w:r w:rsidRPr="00E30812">
        <w:rPr>
          <w:rFonts w:ascii="Aptos" w:hAnsi="Aptos"/>
          <w:sz w:val="24"/>
          <w:szCs w:val="24"/>
          <w:vertAlign w:val="superscript"/>
        </w:rPr>
        <w:t>3</w:t>
      </w:r>
      <w:r w:rsidRPr="00683044">
        <w:rPr>
          <w:rFonts w:ascii="Aptos" w:hAnsi="Aptos"/>
          <w:sz w:val="24"/>
          <w:szCs w:val="24"/>
        </w:rPr>
        <w:t xml:space="preserve"> option to directly transfer your IRA assets to your HSA in a tax-free transaction called a “qualified HSA funding distribution.” Your</w:t>
      </w:r>
      <w:r w:rsidR="002E4519" w:rsidRPr="00683044">
        <w:rPr>
          <w:rFonts w:ascii="Aptos" w:hAnsi="Aptos"/>
          <w:sz w:val="24"/>
          <w:szCs w:val="24"/>
        </w:rPr>
        <w:t xml:space="preserve"> </w:t>
      </w:r>
      <w:r w:rsidRPr="00683044">
        <w:rPr>
          <w:rFonts w:ascii="Aptos" w:hAnsi="Aptos"/>
          <w:sz w:val="24"/>
          <w:szCs w:val="24"/>
        </w:rPr>
        <w:t>qualified HSA funding distribution cannot exceed your maximum contribution amount for the year. For assistance in determining whether a qualified HSA funding distribution is appropriate for you, you should consult a tax advisor.</w:t>
      </w:r>
    </w:p>
    <w:p w14:paraId="69A24AF9" w14:textId="77777777" w:rsidR="002E4519" w:rsidRPr="00683044" w:rsidRDefault="002E4519" w:rsidP="00683044">
      <w:pPr>
        <w:rPr>
          <w:rFonts w:ascii="Aptos" w:hAnsi="Aptos"/>
          <w:sz w:val="24"/>
          <w:szCs w:val="24"/>
        </w:rPr>
      </w:pPr>
    </w:p>
    <w:p w14:paraId="6853F01F" w14:textId="705D33F4" w:rsidR="00850618" w:rsidRPr="00683044" w:rsidRDefault="002E4519" w:rsidP="00683044">
      <w:pPr>
        <w:rPr>
          <w:rFonts w:ascii="Aptos" w:hAnsi="Aptos"/>
          <w:sz w:val="24"/>
          <w:szCs w:val="24"/>
        </w:rPr>
      </w:pPr>
      <w:r w:rsidRPr="00E30812">
        <w:rPr>
          <w:rFonts w:ascii="Aptos" w:hAnsi="Aptos"/>
          <w:sz w:val="24"/>
          <w:szCs w:val="24"/>
          <w:vertAlign w:val="superscript"/>
        </w:rPr>
        <w:t>1</w:t>
      </w:r>
      <w:r w:rsidR="0077489B" w:rsidRPr="00683044">
        <w:rPr>
          <w:rFonts w:ascii="Aptos" w:hAnsi="Aptos"/>
          <w:sz w:val="24"/>
          <w:szCs w:val="24"/>
        </w:rPr>
        <w:t xml:space="preserve"> Family coverage is a health plan that covers the HSA owner and at least one other individual.</w:t>
      </w:r>
    </w:p>
    <w:p w14:paraId="6853F020" w14:textId="77777777" w:rsidR="00850618" w:rsidRPr="00683044" w:rsidRDefault="0077489B" w:rsidP="00683044">
      <w:pPr>
        <w:rPr>
          <w:rFonts w:ascii="Aptos" w:hAnsi="Aptos"/>
          <w:sz w:val="24"/>
          <w:szCs w:val="24"/>
        </w:rPr>
      </w:pPr>
      <w:r w:rsidRPr="00E30812">
        <w:rPr>
          <w:rFonts w:ascii="Aptos" w:hAnsi="Aptos"/>
          <w:sz w:val="24"/>
          <w:szCs w:val="24"/>
          <w:vertAlign w:val="superscript"/>
        </w:rPr>
        <w:t xml:space="preserve">2 </w:t>
      </w:r>
      <w:r w:rsidRPr="00683044">
        <w:rPr>
          <w:rFonts w:ascii="Aptos" w:hAnsi="Aptos"/>
          <w:sz w:val="24"/>
          <w:szCs w:val="24"/>
        </w:rPr>
        <w:t>The December 1 date assumes you are a calendar-year-filer for your federal income tax return.</w:t>
      </w:r>
    </w:p>
    <w:p w14:paraId="6853F021" w14:textId="77777777" w:rsidR="00850618" w:rsidRPr="00E30812" w:rsidRDefault="0077489B" w:rsidP="00683044">
      <w:pPr>
        <w:rPr>
          <w:sz w:val="24"/>
          <w:szCs w:val="24"/>
        </w:rPr>
      </w:pPr>
      <w:r w:rsidRPr="00E30812">
        <w:rPr>
          <w:rFonts w:ascii="Aptos" w:hAnsi="Aptos"/>
          <w:sz w:val="24"/>
          <w:szCs w:val="24"/>
          <w:vertAlign w:val="superscript"/>
        </w:rPr>
        <w:t>3</w:t>
      </w:r>
      <w:r w:rsidRPr="00683044">
        <w:rPr>
          <w:rFonts w:ascii="Aptos" w:hAnsi="Aptos"/>
          <w:sz w:val="24"/>
          <w:szCs w:val="24"/>
        </w:rPr>
        <w:t xml:space="preserve"> If </w:t>
      </w:r>
      <w:r w:rsidRPr="00E30812">
        <w:rPr>
          <w:rFonts w:ascii="Aptos" w:hAnsi="Aptos"/>
          <w:sz w:val="24"/>
          <w:szCs w:val="24"/>
        </w:rPr>
        <w:t>you are covered by self-only health coverage at the time of the qualified HSA funding distribution, and later switch during the same year to family coverage, you may be eligible for a second qualified HSA funding distribution.</w:t>
      </w:r>
    </w:p>
    <w:sectPr w:rsidR="00850618" w:rsidRPr="00E30812" w:rsidSect="00F277AC">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D5FBC"/>
    <w:multiLevelType w:val="hybridMultilevel"/>
    <w:tmpl w:val="E0640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D03A72"/>
    <w:multiLevelType w:val="hybridMultilevel"/>
    <w:tmpl w:val="B72C94E4"/>
    <w:lvl w:ilvl="0" w:tplc="60E4A526">
      <w:numFmt w:val="bullet"/>
      <w:lvlText w:val="•"/>
      <w:lvlJc w:val="left"/>
      <w:pPr>
        <w:ind w:left="369" w:hanging="250"/>
      </w:pPr>
      <w:rPr>
        <w:rFonts w:ascii="Tahoma" w:eastAsia="Tahoma" w:hAnsi="Tahoma" w:cs="Tahoma" w:hint="default"/>
        <w:b w:val="0"/>
        <w:bCs w:val="0"/>
        <w:i w:val="0"/>
        <w:iCs w:val="0"/>
        <w:color w:val="6A9DBF"/>
        <w:spacing w:val="0"/>
        <w:w w:val="165"/>
        <w:sz w:val="26"/>
        <w:szCs w:val="26"/>
        <w:lang w:val="en-US" w:eastAsia="en-US" w:bidi="ar-SA"/>
      </w:rPr>
    </w:lvl>
    <w:lvl w:ilvl="1" w:tplc="19AE6EA2">
      <w:numFmt w:val="bullet"/>
      <w:lvlText w:val="•"/>
      <w:lvlJc w:val="left"/>
      <w:pPr>
        <w:ind w:left="587" w:hanging="250"/>
      </w:pPr>
      <w:rPr>
        <w:rFonts w:hint="default"/>
        <w:lang w:val="en-US" w:eastAsia="en-US" w:bidi="ar-SA"/>
      </w:rPr>
    </w:lvl>
    <w:lvl w:ilvl="2" w:tplc="D442A014">
      <w:numFmt w:val="bullet"/>
      <w:lvlText w:val="•"/>
      <w:lvlJc w:val="left"/>
      <w:pPr>
        <w:ind w:left="815" w:hanging="250"/>
      </w:pPr>
      <w:rPr>
        <w:rFonts w:hint="default"/>
        <w:lang w:val="en-US" w:eastAsia="en-US" w:bidi="ar-SA"/>
      </w:rPr>
    </w:lvl>
    <w:lvl w:ilvl="3" w:tplc="C20CDAE4">
      <w:numFmt w:val="bullet"/>
      <w:lvlText w:val="•"/>
      <w:lvlJc w:val="left"/>
      <w:pPr>
        <w:ind w:left="1043" w:hanging="250"/>
      </w:pPr>
      <w:rPr>
        <w:rFonts w:hint="default"/>
        <w:lang w:val="en-US" w:eastAsia="en-US" w:bidi="ar-SA"/>
      </w:rPr>
    </w:lvl>
    <w:lvl w:ilvl="4" w:tplc="D9540540">
      <w:numFmt w:val="bullet"/>
      <w:lvlText w:val="•"/>
      <w:lvlJc w:val="left"/>
      <w:pPr>
        <w:ind w:left="1271" w:hanging="250"/>
      </w:pPr>
      <w:rPr>
        <w:rFonts w:hint="default"/>
        <w:lang w:val="en-US" w:eastAsia="en-US" w:bidi="ar-SA"/>
      </w:rPr>
    </w:lvl>
    <w:lvl w:ilvl="5" w:tplc="E58A8020">
      <w:numFmt w:val="bullet"/>
      <w:lvlText w:val="•"/>
      <w:lvlJc w:val="left"/>
      <w:pPr>
        <w:ind w:left="1499" w:hanging="250"/>
      </w:pPr>
      <w:rPr>
        <w:rFonts w:hint="default"/>
        <w:lang w:val="en-US" w:eastAsia="en-US" w:bidi="ar-SA"/>
      </w:rPr>
    </w:lvl>
    <w:lvl w:ilvl="6" w:tplc="F01CFA3A">
      <w:numFmt w:val="bullet"/>
      <w:lvlText w:val="•"/>
      <w:lvlJc w:val="left"/>
      <w:pPr>
        <w:ind w:left="1727" w:hanging="250"/>
      </w:pPr>
      <w:rPr>
        <w:rFonts w:hint="default"/>
        <w:lang w:val="en-US" w:eastAsia="en-US" w:bidi="ar-SA"/>
      </w:rPr>
    </w:lvl>
    <w:lvl w:ilvl="7" w:tplc="31BA1BF2">
      <w:numFmt w:val="bullet"/>
      <w:lvlText w:val="•"/>
      <w:lvlJc w:val="left"/>
      <w:pPr>
        <w:ind w:left="1955" w:hanging="250"/>
      </w:pPr>
      <w:rPr>
        <w:rFonts w:hint="default"/>
        <w:lang w:val="en-US" w:eastAsia="en-US" w:bidi="ar-SA"/>
      </w:rPr>
    </w:lvl>
    <w:lvl w:ilvl="8" w:tplc="950A0724">
      <w:numFmt w:val="bullet"/>
      <w:lvlText w:val="•"/>
      <w:lvlJc w:val="left"/>
      <w:pPr>
        <w:ind w:left="2183" w:hanging="250"/>
      </w:pPr>
      <w:rPr>
        <w:rFonts w:hint="default"/>
        <w:lang w:val="en-US" w:eastAsia="en-US" w:bidi="ar-SA"/>
      </w:rPr>
    </w:lvl>
  </w:abstractNum>
  <w:abstractNum w:abstractNumId="2" w15:restartNumberingAfterBreak="0">
    <w:nsid w:val="3A411F61"/>
    <w:multiLevelType w:val="hybridMultilevel"/>
    <w:tmpl w:val="15D4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90F86"/>
    <w:multiLevelType w:val="hybridMultilevel"/>
    <w:tmpl w:val="70725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1E0E14"/>
    <w:multiLevelType w:val="hybridMultilevel"/>
    <w:tmpl w:val="8FEE3C7A"/>
    <w:lvl w:ilvl="0" w:tplc="9D0C5742">
      <w:numFmt w:val="bullet"/>
      <w:lvlText w:val="•"/>
      <w:lvlJc w:val="left"/>
      <w:pPr>
        <w:ind w:left="390" w:hanging="270"/>
      </w:pPr>
      <w:rPr>
        <w:rFonts w:ascii="Gill Sans MT" w:eastAsia="Gill Sans MT" w:hAnsi="Gill Sans MT" w:cs="Gill Sans MT" w:hint="default"/>
        <w:b w:val="0"/>
        <w:bCs w:val="0"/>
        <w:i w:val="0"/>
        <w:iCs w:val="0"/>
        <w:color w:val="231F20"/>
        <w:spacing w:val="0"/>
        <w:w w:val="282"/>
        <w:sz w:val="20"/>
        <w:szCs w:val="20"/>
        <w:lang w:val="en-US" w:eastAsia="en-US" w:bidi="ar-SA"/>
      </w:rPr>
    </w:lvl>
    <w:lvl w:ilvl="1" w:tplc="DDD4B478">
      <w:numFmt w:val="bullet"/>
      <w:lvlText w:val="•"/>
      <w:lvlJc w:val="left"/>
      <w:pPr>
        <w:ind w:left="390" w:hanging="270"/>
      </w:pPr>
      <w:rPr>
        <w:rFonts w:ascii="Gill Sans MT" w:eastAsia="Gill Sans MT" w:hAnsi="Gill Sans MT" w:cs="Gill Sans MT" w:hint="default"/>
        <w:b w:val="0"/>
        <w:bCs w:val="0"/>
        <w:i w:val="0"/>
        <w:iCs w:val="0"/>
        <w:color w:val="231F20"/>
        <w:spacing w:val="0"/>
        <w:w w:val="282"/>
        <w:sz w:val="20"/>
        <w:szCs w:val="20"/>
        <w:lang w:val="en-US" w:eastAsia="en-US" w:bidi="ar-SA"/>
      </w:rPr>
    </w:lvl>
    <w:lvl w:ilvl="2" w:tplc="D29886FA">
      <w:numFmt w:val="bullet"/>
      <w:lvlText w:val="•"/>
      <w:lvlJc w:val="left"/>
      <w:pPr>
        <w:ind w:left="274" w:hanging="270"/>
      </w:pPr>
      <w:rPr>
        <w:rFonts w:hint="default"/>
        <w:lang w:val="en-US" w:eastAsia="en-US" w:bidi="ar-SA"/>
      </w:rPr>
    </w:lvl>
    <w:lvl w:ilvl="3" w:tplc="AB44D418">
      <w:numFmt w:val="bullet"/>
      <w:lvlText w:val="•"/>
      <w:lvlJc w:val="left"/>
      <w:pPr>
        <w:ind w:left="212" w:hanging="270"/>
      </w:pPr>
      <w:rPr>
        <w:rFonts w:hint="default"/>
        <w:lang w:val="en-US" w:eastAsia="en-US" w:bidi="ar-SA"/>
      </w:rPr>
    </w:lvl>
    <w:lvl w:ilvl="4" w:tplc="43441E68">
      <w:numFmt w:val="bullet"/>
      <w:lvlText w:val="•"/>
      <w:lvlJc w:val="left"/>
      <w:pPr>
        <w:ind w:left="149" w:hanging="270"/>
      </w:pPr>
      <w:rPr>
        <w:rFonts w:hint="default"/>
        <w:lang w:val="en-US" w:eastAsia="en-US" w:bidi="ar-SA"/>
      </w:rPr>
    </w:lvl>
    <w:lvl w:ilvl="5" w:tplc="E6BEB924">
      <w:numFmt w:val="bullet"/>
      <w:lvlText w:val="•"/>
      <w:lvlJc w:val="left"/>
      <w:pPr>
        <w:ind w:left="87" w:hanging="270"/>
      </w:pPr>
      <w:rPr>
        <w:rFonts w:hint="default"/>
        <w:lang w:val="en-US" w:eastAsia="en-US" w:bidi="ar-SA"/>
      </w:rPr>
    </w:lvl>
    <w:lvl w:ilvl="6" w:tplc="1C08AE76">
      <w:numFmt w:val="bullet"/>
      <w:lvlText w:val="•"/>
      <w:lvlJc w:val="left"/>
      <w:pPr>
        <w:ind w:left="24" w:hanging="270"/>
      </w:pPr>
      <w:rPr>
        <w:rFonts w:hint="default"/>
        <w:lang w:val="en-US" w:eastAsia="en-US" w:bidi="ar-SA"/>
      </w:rPr>
    </w:lvl>
    <w:lvl w:ilvl="7" w:tplc="82AA18D8">
      <w:numFmt w:val="bullet"/>
      <w:lvlText w:val="•"/>
      <w:lvlJc w:val="left"/>
      <w:pPr>
        <w:ind w:left="-38" w:hanging="270"/>
      </w:pPr>
      <w:rPr>
        <w:rFonts w:hint="default"/>
        <w:lang w:val="en-US" w:eastAsia="en-US" w:bidi="ar-SA"/>
      </w:rPr>
    </w:lvl>
    <w:lvl w:ilvl="8" w:tplc="599E6358">
      <w:numFmt w:val="bullet"/>
      <w:lvlText w:val="•"/>
      <w:lvlJc w:val="left"/>
      <w:pPr>
        <w:ind w:left="-101" w:hanging="270"/>
      </w:pPr>
      <w:rPr>
        <w:rFonts w:hint="default"/>
        <w:lang w:val="en-US" w:eastAsia="en-US" w:bidi="ar-SA"/>
      </w:rPr>
    </w:lvl>
  </w:abstractNum>
  <w:num w:numId="1" w16cid:durableId="711536197">
    <w:abstractNumId w:val="4"/>
  </w:num>
  <w:num w:numId="2" w16cid:durableId="2146728190">
    <w:abstractNumId w:val="1"/>
  </w:num>
  <w:num w:numId="3" w16cid:durableId="2101246868">
    <w:abstractNumId w:val="0"/>
  </w:num>
  <w:num w:numId="4" w16cid:durableId="1011301415">
    <w:abstractNumId w:val="3"/>
  </w:num>
  <w:num w:numId="5" w16cid:durableId="1415513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18"/>
    <w:rsid w:val="00042339"/>
    <w:rsid w:val="000E75ED"/>
    <w:rsid w:val="00221D13"/>
    <w:rsid w:val="002E4519"/>
    <w:rsid w:val="003F188C"/>
    <w:rsid w:val="00451616"/>
    <w:rsid w:val="00465822"/>
    <w:rsid w:val="00596F3D"/>
    <w:rsid w:val="005C5AD3"/>
    <w:rsid w:val="006740A3"/>
    <w:rsid w:val="00681AE3"/>
    <w:rsid w:val="00683044"/>
    <w:rsid w:val="006A12B4"/>
    <w:rsid w:val="0073471D"/>
    <w:rsid w:val="00747045"/>
    <w:rsid w:val="0077489B"/>
    <w:rsid w:val="007E28F0"/>
    <w:rsid w:val="007E5587"/>
    <w:rsid w:val="00850618"/>
    <w:rsid w:val="00893DE6"/>
    <w:rsid w:val="008D1D49"/>
    <w:rsid w:val="00970811"/>
    <w:rsid w:val="009A1FC6"/>
    <w:rsid w:val="00A819B5"/>
    <w:rsid w:val="00AD007E"/>
    <w:rsid w:val="00B11551"/>
    <w:rsid w:val="00BC3653"/>
    <w:rsid w:val="00C45BBC"/>
    <w:rsid w:val="00C77F9B"/>
    <w:rsid w:val="00CC4BAE"/>
    <w:rsid w:val="00DA3DB5"/>
    <w:rsid w:val="00E12F11"/>
    <w:rsid w:val="00E30812"/>
    <w:rsid w:val="00E74526"/>
    <w:rsid w:val="00E91226"/>
    <w:rsid w:val="00F277AC"/>
    <w:rsid w:val="00FD3655"/>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EFB2"/>
  <w15:docId w15:val="{21FED383-1308-46C8-9FF4-A84D0284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20"/>
      <w:outlineLvl w:val="0"/>
    </w:pPr>
    <w:rPr>
      <w:rFonts w:ascii="Tahoma" w:eastAsia="Tahoma" w:hAnsi="Tahoma" w:cs="Tahoma"/>
      <w:sz w:val="32"/>
      <w:szCs w:val="32"/>
    </w:rPr>
  </w:style>
  <w:style w:type="paragraph" w:styleId="Heading2">
    <w:name w:val="heading 2"/>
    <w:basedOn w:val="Normal"/>
    <w:uiPriority w:val="9"/>
    <w:unhideWhenUsed/>
    <w:qFormat/>
    <w:pPr>
      <w:spacing w:before="68" w:line="261" w:lineRule="exact"/>
      <w:ind w:left="120"/>
      <w:outlineLvl w:val="1"/>
    </w:pPr>
    <w:rPr>
      <w:rFonts w:ascii="Calibri" w:eastAsia="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61"/>
    </w:pPr>
    <w:rPr>
      <w:rFonts w:ascii="Tahoma" w:eastAsia="Tahoma" w:hAnsi="Tahoma" w:cs="Tahoma"/>
      <w:sz w:val="110"/>
      <w:szCs w:val="110"/>
    </w:rPr>
  </w:style>
  <w:style w:type="paragraph" w:styleId="ListParagraph">
    <w:name w:val="List Paragraph"/>
    <w:basedOn w:val="Normal"/>
    <w:uiPriority w:val="1"/>
    <w:qFormat/>
    <w:pPr>
      <w:spacing w:before="2"/>
      <w:ind w:left="390" w:hanging="270"/>
    </w:pPr>
  </w:style>
  <w:style w:type="paragraph" w:customStyle="1" w:styleId="TableParagraph">
    <w:name w:val="Table Paragraph"/>
    <w:basedOn w:val="Normal"/>
    <w:uiPriority w:val="1"/>
    <w:qFormat/>
    <w:pPr>
      <w:ind w:left="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4437</Characters>
  <Application>Microsoft Office Word</Application>
  <DocSecurity>4</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CRPS-User</dc:creator>
  <cp:lastModifiedBy>Julie Robinson</cp:lastModifiedBy>
  <cp:revision>2</cp:revision>
  <dcterms:created xsi:type="dcterms:W3CDTF">2025-03-05T20:53:00Z</dcterms:created>
  <dcterms:modified xsi:type="dcterms:W3CDTF">2025-03-05T20:53:00Z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Adobe InDesign 18.0 (Macintosh)</vt:lpwstr>
  </property>
  <property fmtid="{D5CDD505-2E9C-101B-9397-08002B2CF9AE}" pid="4" name="LastSaved">
    <vt:filetime>2024-07-05T00:00:00Z</vt:filetime>
  </property>
  <property fmtid="{D5CDD505-2E9C-101B-9397-08002B2CF9AE}" pid="5" name="Producer">
    <vt:lpwstr>Adobe PDF Library 17.0</vt:lpwstr>
  </property>
</Properties>
</file>