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8922" w14:textId="5326572F" w:rsidR="00FB7D91" w:rsidRPr="00837319" w:rsidRDefault="00837319" w:rsidP="006E0B6C">
      <w:pPr>
        <w:rPr>
          <w:rFonts w:ascii="Aptos" w:hAnsi="Aptos"/>
          <w:b/>
          <w:bCs/>
          <w:sz w:val="28"/>
          <w:szCs w:val="28"/>
        </w:rPr>
      </w:pPr>
      <w:r w:rsidRPr="00837319">
        <w:rPr>
          <w:rFonts w:ascii="Aptos" w:hAnsi="Aptos"/>
          <w:b/>
          <w:bCs/>
          <w:sz w:val="28"/>
          <w:szCs w:val="28"/>
        </w:rPr>
        <w:t>TRADITIONAL IRAS</w:t>
      </w:r>
    </w:p>
    <w:p w14:paraId="13B7BFC1" w14:textId="77777777" w:rsidR="00837319" w:rsidRDefault="00837319" w:rsidP="006E0B6C">
      <w:pPr>
        <w:rPr>
          <w:rFonts w:ascii="Aptos" w:hAnsi="Aptos"/>
          <w:sz w:val="24"/>
          <w:szCs w:val="24"/>
        </w:rPr>
      </w:pPr>
    </w:p>
    <w:p w14:paraId="52A98924" w14:textId="7C34E164" w:rsidR="00FB7D91" w:rsidRDefault="003E5434" w:rsidP="006E0B6C">
      <w:pPr>
        <w:rPr>
          <w:rFonts w:ascii="Aptos" w:hAnsi="Aptos"/>
          <w:sz w:val="24"/>
          <w:szCs w:val="24"/>
        </w:rPr>
      </w:pPr>
      <w:r w:rsidRPr="006E0B6C">
        <w:rPr>
          <w:rFonts w:ascii="Aptos" w:hAnsi="Aptos"/>
          <w:sz w:val="24"/>
          <w:szCs w:val="24"/>
        </w:rPr>
        <w:t>SIMPLE, SMART AND TAX ADVANTAGED</w:t>
      </w:r>
    </w:p>
    <w:p w14:paraId="4DA70E05" w14:textId="77777777" w:rsidR="00837319" w:rsidRPr="006E0B6C" w:rsidRDefault="00837319" w:rsidP="006E0B6C">
      <w:pPr>
        <w:rPr>
          <w:rFonts w:ascii="Aptos" w:hAnsi="Aptos"/>
          <w:sz w:val="24"/>
          <w:szCs w:val="24"/>
        </w:rPr>
      </w:pPr>
    </w:p>
    <w:p w14:paraId="52A98926" w14:textId="76EB5B08" w:rsidR="00FB7D91" w:rsidRDefault="003E5434" w:rsidP="006E0B6C">
      <w:pPr>
        <w:rPr>
          <w:rFonts w:ascii="Aptos" w:hAnsi="Aptos"/>
          <w:sz w:val="24"/>
          <w:szCs w:val="24"/>
        </w:rPr>
      </w:pPr>
      <w:r w:rsidRPr="006E0B6C">
        <w:rPr>
          <w:rFonts w:ascii="Aptos" w:hAnsi="Aptos"/>
          <w:sz w:val="24"/>
          <w:szCs w:val="24"/>
        </w:rPr>
        <w:t>While there are numerous ways to save for retirement, saving</w:t>
      </w:r>
      <w:r w:rsidR="00837319">
        <w:rPr>
          <w:rFonts w:ascii="Aptos" w:hAnsi="Aptos"/>
          <w:sz w:val="24"/>
          <w:szCs w:val="24"/>
        </w:rPr>
        <w:t xml:space="preserve"> </w:t>
      </w:r>
      <w:r w:rsidRPr="006E0B6C">
        <w:rPr>
          <w:rFonts w:ascii="Aptos" w:hAnsi="Aptos"/>
          <w:sz w:val="24"/>
          <w:szCs w:val="24"/>
        </w:rPr>
        <w:t>through a Traditional IRA— for many people—is one of the best ways to save. With a Traditional IRA, you’re in complete control. You choose when to save and how much to save.</w:t>
      </w:r>
    </w:p>
    <w:p w14:paraId="0F692DA5" w14:textId="77777777" w:rsidR="00837319" w:rsidRPr="006E0B6C" w:rsidRDefault="00837319" w:rsidP="006E0B6C">
      <w:pPr>
        <w:rPr>
          <w:rFonts w:ascii="Aptos" w:hAnsi="Aptos"/>
          <w:sz w:val="24"/>
          <w:szCs w:val="24"/>
        </w:rPr>
      </w:pPr>
    </w:p>
    <w:p w14:paraId="52A98928" w14:textId="0A1D9C60" w:rsidR="00FB7D91" w:rsidRPr="006E0B6C" w:rsidRDefault="003E5434" w:rsidP="006E0B6C">
      <w:pPr>
        <w:rPr>
          <w:rFonts w:ascii="Aptos" w:hAnsi="Aptos"/>
          <w:sz w:val="24"/>
          <w:szCs w:val="24"/>
        </w:rPr>
      </w:pPr>
      <w:r w:rsidRPr="006E0B6C">
        <w:rPr>
          <w:rFonts w:ascii="Aptos" w:hAnsi="Aptos"/>
          <w:sz w:val="24"/>
          <w:szCs w:val="24"/>
        </w:rPr>
        <w:t>You enjoy tax benefits that are only available through special tax-advantaged plans such as</w:t>
      </w:r>
      <w:r w:rsidR="00072180">
        <w:rPr>
          <w:rFonts w:ascii="Aptos" w:hAnsi="Aptos"/>
          <w:sz w:val="24"/>
          <w:szCs w:val="24"/>
        </w:rPr>
        <w:t xml:space="preserve"> </w:t>
      </w:r>
      <w:r w:rsidRPr="006E0B6C">
        <w:rPr>
          <w:rFonts w:ascii="Aptos" w:hAnsi="Aptos"/>
          <w:sz w:val="24"/>
          <w:szCs w:val="24"/>
        </w:rPr>
        <w:t>a Traditional IRA. And you enjoy the satisfaction that comes with knowing that you’re taking concrete steps to help ensure a secure financial future.</w:t>
      </w:r>
    </w:p>
    <w:p w14:paraId="5AB35164" w14:textId="77777777" w:rsidR="00837319" w:rsidRDefault="00837319" w:rsidP="006E0B6C">
      <w:pPr>
        <w:rPr>
          <w:rFonts w:ascii="Aptos" w:hAnsi="Aptos"/>
          <w:sz w:val="24"/>
          <w:szCs w:val="24"/>
        </w:rPr>
      </w:pPr>
    </w:p>
    <w:p w14:paraId="52A9892A" w14:textId="30CACC14" w:rsidR="00FB7D91" w:rsidRPr="006E0B6C" w:rsidRDefault="003E5434" w:rsidP="006E0B6C">
      <w:pPr>
        <w:rPr>
          <w:rFonts w:ascii="Aptos" w:hAnsi="Aptos"/>
          <w:sz w:val="24"/>
          <w:szCs w:val="24"/>
        </w:rPr>
      </w:pPr>
      <w:r w:rsidRPr="006E0B6C">
        <w:rPr>
          <w:rFonts w:ascii="Aptos" w:hAnsi="Aptos"/>
          <w:sz w:val="24"/>
          <w:szCs w:val="24"/>
        </w:rPr>
        <w:t>The Traditional Individual Retirement Arrangement (IRA) is an extremely popular savings vehicle. But why are Traditional IRAs so popular? For many taxpayers, the Traditional IRA offers the ability to reduce current income taxes along with the opportunity to postpone taxes on growth/earnings until a</w:t>
      </w:r>
      <w:r w:rsidR="00072180">
        <w:rPr>
          <w:rFonts w:ascii="Aptos" w:hAnsi="Aptos"/>
          <w:sz w:val="24"/>
          <w:szCs w:val="24"/>
        </w:rPr>
        <w:t xml:space="preserve"> </w:t>
      </w:r>
      <w:r w:rsidRPr="006E0B6C">
        <w:rPr>
          <w:rFonts w:ascii="Aptos" w:hAnsi="Aptos"/>
          <w:sz w:val="24"/>
          <w:szCs w:val="24"/>
        </w:rPr>
        <w:t>future date when funds are distributed (typically after retirement).</w:t>
      </w:r>
    </w:p>
    <w:p w14:paraId="4D6E123A" w14:textId="77777777" w:rsidR="00FE095C" w:rsidRDefault="00FE095C" w:rsidP="006E0B6C">
      <w:pPr>
        <w:rPr>
          <w:rFonts w:ascii="Aptos" w:hAnsi="Aptos"/>
          <w:sz w:val="24"/>
          <w:szCs w:val="24"/>
        </w:rPr>
      </w:pPr>
    </w:p>
    <w:p w14:paraId="52A98931" w14:textId="2606350D" w:rsidR="00FB7D91" w:rsidRPr="006E0B6C" w:rsidRDefault="003E5434" w:rsidP="006E0B6C">
      <w:pPr>
        <w:rPr>
          <w:rFonts w:ascii="Aptos" w:hAnsi="Aptos"/>
          <w:sz w:val="24"/>
          <w:szCs w:val="24"/>
        </w:rPr>
      </w:pPr>
      <w:r w:rsidRPr="006E0B6C">
        <w:rPr>
          <w:rFonts w:ascii="Aptos" w:hAnsi="Aptos"/>
          <w:sz w:val="24"/>
          <w:szCs w:val="24"/>
        </w:rPr>
        <w:t>TAX BENEFITS</w:t>
      </w:r>
    </w:p>
    <w:p w14:paraId="1F24181D" w14:textId="77777777" w:rsidR="00FE095C" w:rsidRDefault="00FE095C" w:rsidP="006E0B6C">
      <w:pPr>
        <w:rPr>
          <w:rFonts w:ascii="Aptos" w:hAnsi="Aptos"/>
          <w:sz w:val="24"/>
          <w:szCs w:val="24"/>
        </w:rPr>
      </w:pPr>
    </w:p>
    <w:p w14:paraId="52A98933" w14:textId="01DACF5C" w:rsidR="00FB7D91" w:rsidRPr="006E0B6C" w:rsidRDefault="003E5434" w:rsidP="006E0B6C">
      <w:pPr>
        <w:rPr>
          <w:rFonts w:ascii="Aptos" w:hAnsi="Aptos"/>
          <w:sz w:val="24"/>
          <w:szCs w:val="24"/>
        </w:rPr>
      </w:pPr>
      <w:r w:rsidRPr="006E0B6C">
        <w:rPr>
          <w:rFonts w:ascii="Aptos" w:hAnsi="Aptos"/>
          <w:sz w:val="24"/>
          <w:szCs w:val="24"/>
        </w:rPr>
        <w:t>There are two basic tax benefits associated with Traditional IRAs: a potential tax deduction for</w:t>
      </w:r>
      <w:r w:rsidR="00CE34D8">
        <w:rPr>
          <w:rFonts w:ascii="Aptos" w:hAnsi="Aptos"/>
          <w:sz w:val="24"/>
          <w:szCs w:val="24"/>
        </w:rPr>
        <w:t xml:space="preserve"> </w:t>
      </w:r>
      <w:r w:rsidRPr="006E0B6C">
        <w:rPr>
          <w:rFonts w:ascii="Aptos" w:hAnsi="Aptos"/>
          <w:sz w:val="24"/>
          <w:szCs w:val="24"/>
        </w:rPr>
        <w:t xml:space="preserve">contributions, and tax deferral on growth/earnings that accrue within the Traditional </w:t>
      </w:r>
      <w:proofErr w:type="gramStart"/>
      <w:r w:rsidRPr="006E0B6C">
        <w:rPr>
          <w:rFonts w:ascii="Aptos" w:hAnsi="Aptos"/>
          <w:sz w:val="24"/>
          <w:szCs w:val="24"/>
        </w:rPr>
        <w:t>IRA.*</w:t>
      </w:r>
      <w:proofErr w:type="gramEnd"/>
    </w:p>
    <w:p w14:paraId="52A98934" w14:textId="77777777" w:rsidR="00FB7D91" w:rsidRPr="006E0B6C" w:rsidRDefault="00FB7D91" w:rsidP="006E0B6C">
      <w:pPr>
        <w:rPr>
          <w:rFonts w:ascii="Aptos" w:hAnsi="Aptos"/>
          <w:sz w:val="24"/>
          <w:szCs w:val="24"/>
        </w:rPr>
      </w:pPr>
    </w:p>
    <w:p w14:paraId="52A98936" w14:textId="0EEE934A" w:rsidR="00FB7D91" w:rsidRPr="006E0B6C" w:rsidRDefault="003E5434" w:rsidP="006E0B6C">
      <w:pPr>
        <w:rPr>
          <w:rFonts w:ascii="Aptos" w:hAnsi="Aptos"/>
          <w:sz w:val="24"/>
          <w:szCs w:val="24"/>
        </w:rPr>
      </w:pPr>
      <w:r w:rsidRPr="006E0B6C">
        <w:rPr>
          <w:rFonts w:ascii="Aptos" w:hAnsi="Aptos"/>
          <w:sz w:val="24"/>
          <w:szCs w:val="24"/>
        </w:rPr>
        <w:t>TAX BENEFIT #1:</w:t>
      </w:r>
      <w:r w:rsidR="00FE095C">
        <w:rPr>
          <w:rFonts w:ascii="Aptos" w:hAnsi="Aptos"/>
          <w:sz w:val="24"/>
          <w:szCs w:val="24"/>
        </w:rPr>
        <w:t xml:space="preserve"> </w:t>
      </w:r>
      <w:r w:rsidRPr="006E0B6C">
        <w:rPr>
          <w:rFonts w:ascii="Aptos" w:hAnsi="Aptos"/>
          <w:sz w:val="24"/>
          <w:szCs w:val="24"/>
        </w:rPr>
        <w:t>TAX-DEDUCTIBLE CONTRIBUTIONS</w:t>
      </w:r>
    </w:p>
    <w:p w14:paraId="248E5601" w14:textId="77777777" w:rsidR="00FE095C" w:rsidRDefault="00FE095C" w:rsidP="006E0B6C">
      <w:pPr>
        <w:rPr>
          <w:rFonts w:ascii="Aptos" w:hAnsi="Aptos"/>
          <w:sz w:val="24"/>
          <w:szCs w:val="24"/>
        </w:rPr>
      </w:pPr>
    </w:p>
    <w:p w14:paraId="52A98938" w14:textId="3DE00AA4" w:rsidR="00FB7D91" w:rsidRPr="006E0B6C" w:rsidRDefault="003E5434" w:rsidP="006E0B6C">
      <w:pPr>
        <w:rPr>
          <w:rFonts w:ascii="Aptos" w:hAnsi="Aptos"/>
          <w:sz w:val="24"/>
          <w:szCs w:val="24"/>
        </w:rPr>
      </w:pPr>
      <w:r w:rsidRPr="006E0B6C">
        <w:rPr>
          <w:rFonts w:ascii="Aptos" w:hAnsi="Aptos"/>
          <w:sz w:val="24"/>
          <w:szCs w:val="24"/>
        </w:rPr>
        <w:t xml:space="preserve">A key factor in determining whether you are eligible to take a tax deduction for a Traditional IRA contribution is whether you (and/or your spouse if you are married) </w:t>
      </w:r>
      <w:proofErr w:type="gramStart"/>
      <w:r w:rsidRPr="006E0B6C">
        <w:rPr>
          <w:rFonts w:ascii="Aptos" w:hAnsi="Aptos"/>
          <w:sz w:val="24"/>
          <w:szCs w:val="24"/>
        </w:rPr>
        <w:t>are considered to be</w:t>
      </w:r>
      <w:proofErr w:type="gramEnd"/>
      <w:r w:rsidRPr="006E0B6C">
        <w:rPr>
          <w:rFonts w:ascii="Aptos" w:hAnsi="Aptos"/>
          <w:sz w:val="24"/>
          <w:szCs w:val="24"/>
        </w:rPr>
        <w:t xml:space="preserve"> an “active participant” in an employer-sponsored retirement plan. If neither you, nor your spouse (if applicable), is an active participant in an employer</w:t>
      </w:r>
      <w:r w:rsidR="007F5366">
        <w:rPr>
          <w:rFonts w:ascii="Aptos" w:hAnsi="Aptos"/>
          <w:sz w:val="24"/>
          <w:szCs w:val="24"/>
        </w:rPr>
        <w:t>-</w:t>
      </w:r>
      <w:r w:rsidRPr="006E0B6C">
        <w:rPr>
          <w:rFonts w:ascii="Aptos" w:hAnsi="Aptos"/>
          <w:sz w:val="24"/>
          <w:szCs w:val="24"/>
        </w:rPr>
        <w:t>sponsored retirement plan, you can take a full tax deduction for your Traditional IRA contribution regardless of your income level. On the other hand,</w:t>
      </w:r>
      <w:r w:rsidR="00FE095C">
        <w:rPr>
          <w:rFonts w:ascii="Aptos" w:hAnsi="Aptos"/>
          <w:sz w:val="24"/>
          <w:szCs w:val="24"/>
        </w:rPr>
        <w:t xml:space="preserve"> </w:t>
      </w:r>
      <w:r w:rsidRPr="006E0B6C">
        <w:rPr>
          <w:rFonts w:ascii="Aptos" w:hAnsi="Aptos"/>
          <w:sz w:val="24"/>
          <w:szCs w:val="24"/>
        </w:rPr>
        <w:t>if you (or your spouse) are an active participant in an employer-sponsored retirement plan, your ability to take a tax deduction for a Traditional IRA contribution will vary based on your tax filing status and your income level. Depending on your circumstances you may qualify for a full tax deduction, a partial tax deduction or no tax deduction.</w:t>
      </w:r>
    </w:p>
    <w:p w14:paraId="52A98939" w14:textId="77777777" w:rsidR="00FB7D91" w:rsidRPr="006E0B6C" w:rsidRDefault="00FB7D91" w:rsidP="006E0B6C">
      <w:pPr>
        <w:rPr>
          <w:rFonts w:ascii="Aptos" w:hAnsi="Aptos"/>
          <w:sz w:val="24"/>
          <w:szCs w:val="24"/>
        </w:rPr>
      </w:pPr>
    </w:p>
    <w:p w14:paraId="52A9893B" w14:textId="46024198" w:rsidR="00FB7D91" w:rsidRDefault="003E5434" w:rsidP="006E0B6C">
      <w:pPr>
        <w:rPr>
          <w:rFonts w:ascii="Aptos" w:hAnsi="Aptos"/>
          <w:sz w:val="24"/>
          <w:szCs w:val="24"/>
        </w:rPr>
      </w:pPr>
      <w:r w:rsidRPr="006E0B6C">
        <w:rPr>
          <w:rFonts w:ascii="Aptos" w:hAnsi="Aptos"/>
          <w:sz w:val="24"/>
          <w:szCs w:val="24"/>
        </w:rPr>
        <w:t>TAX BENEFIT #2:</w:t>
      </w:r>
      <w:r w:rsidR="00FE095C">
        <w:rPr>
          <w:rFonts w:ascii="Aptos" w:hAnsi="Aptos"/>
          <w:sz w:val="24"/>
          <w:szCs w:val="24"/>
        </w:rPr>
        <w:t xml:space="preserve"> </w:t>
      </w:r>
      <w:r w:rsidRPr="006E0B6C">
        <w:rPr>
          <w:rFonts w:ascii="Aptos" w:hAnsi="Aptos"/>
          <w:sz w:val="24"/>
          <w:szCs w:val="24"/>
        </w:rPr>
        <w:t>TAX-DEFERRED GROWTH</w:t>
      </w:r>
    </w:p>
    <w:p w14:paraId="7A6D166D" w14:textId="77777777" w:rsidR="003E5434" w:rsidRPr="006E0B6C" w:rsidRDefault="003E5434" w:rsidP="006E0B6C">
      <w:pPr>
        <w:rPr>
          <w:rFonts w:ascii="Aptos" w:hAnsi="Aptos"/>
          <w:sz w:val="24"/>
          <w:szCs w:val="24"/>
        </w:rPr>
      </w:pPr>
    </w:p>
    <w:p w14:paraId="52A9893E" w14:textId="6FDA14A9" w:rsidR="00FB7D91" w:rsidRPr="006E0B6C" w:rsidRDefault="003E5434" w:rsidP="006E0B6C">
      <w:pPr>
        <w:rPr>
          <w:rFonts w:ascii="Aptos" w:hAnsi="Aptos"/>
          <w:sz w:val="24"/>
          <w:szCs w:val="24"/>
        </w:rPr>
      </w:pPr>
      <w:r w:rsidRPr="006E0B6C">
        <w:rPr>
          <w:rFonts w:ascii="Aptos" w:hAnsi="Aptos"/>
          <w:sz w:val="24"/>
          <w:szCs w:val="24"/>
        </w:rPr>
        <w:t>With conventional savings options that are not tax-advantaged, earnings are typically taxed as your savings grow. Earnings within a Traditional</w:t>
      </w:r>
      <w:r w:rsidR="00FE095C">
        <w:rPr>
          <w:rFonts w:ascii="Aptos" w:hAnsi="Aptos"/>
          <w:sz w:val="24"/>
          <w:szCs w:val="24"/>
        </w:rPr>
        <w:t xml:space="preserve"> </w:t>
      </w:r>
      <w:r w:rsidRPr="006E0B6C">
        <w:rPr>
          <w:rFonts w:ascii="Aptos" w:hAnsi="Aptos"/>
          <w:sz w:val="24"/>
          <w:szCs w:val="24"/>
        </w:rPr>
        <w:t>IRA, however, are allowed to grow on a tax-deferred basis—not being taxed until they are distributed from the Traditional IRA at some future date. Fortunately, everyone who is eligible to fund a Traditional IRA is eligible for tax-deferred growth (regardless of tax filing status or income level).</w:t>
      </w:r>
    </w:p>
    <w:p w14:paraId="631B4B79" w14:textId="77777777" w:rsidR="003E5434" w:rsidRDefault="003E5434" w:rsidP="006E0B6C">
      <w:pPr>
        <w:rPr>
          <w:rFonts w:ascii="Aptos" w:hAnsi="Aptos"/>
          <w:sz w:val="24"/>
          <w:szCs w:val="24"/>
        </w:rPr>
      </w:pPr>
    </w:p>
    <w:p w14:paraId="52A9893F" w14:textId="1C577B20" w:rsidR="00FB7D91" w:rsidRDefault="003E5434" w:rsidP="006E0B6C">
      <w:pPr>
        <w:rPr>
          <w:rFonts w:ascii="Aptos" w:hAnsi="Aptos"/>
          <w:sz w:val="24"/>
          <w:szCs w:val="24"/>
        </w:rPr>
      </w:pPr>
      <w:r w:rsidRPr="006E0B6C">
        <w:rPr>
          <w:rFonts w:ascii="Aptos" w:hAnsi="Aptos"/>
          <w:sz w:val="24"/>
          <w:szCs w:val="24"/>
        </w:rPr>
        <w:t>*Under some circumstances, taxpayers are also eligible to claim a tax credit for an IRA contribution.</w:t>
      </w:r>
    </w:p>
    <w:p w14:paraId="19EE1FF7" w14:textId="77777777" w:rsidR="00DB2106" w:rsidRDefault="00DB2106" w:rsidP="006E0B6C">
      <w:pPr>
        <w:rPr>
          <w:rFonts w:ascii="Aptos" w:hAnsi="Aptos"/>
          <w:sz w:val="24"/>
          <w:szCs w:val="24"/>
        </w:rPr>
      </w:pPr>
    </w:p>
    <w:p w14:paraId="52A98940" w14:textId="62EC8063" w:rsidR="00FB7D91" w:rsidRPr="006E0B6C" w:rsidRDefault="003E5434" w:rsidP="006E0B6C">
      <w:pPr>
        <w:rPr>
          <w:rFonts w:ascii="Aptos" w:hAnsi="Aptos"/>
          <w:sz w:val="24"/>
          <w:szCs w:val="24"/>
        </w:rPr>
      </w:pPr>
      <w:r w:rsidRPr="006E0B6C">
        <w:rPr>
          <w:rFonts w:ascii="Aptos" w:hAnsi="Aptos"/>
          <w:sz w:val="24"/>
          <w:szCs w:val="24"/>
        </w:rPr>
        <w:t>FUNDING ELIGIBILITY</w:t>
      </w:r>
    </w:p>
    <w:p w14:paraId="7FF9E589" w14:textId="77777777" w:rsidR="00DB2106" w:rsidRDefault="00DB2106" w:rsidP="006E0B6C">
      <w:pPr>
        <w:rPr>
          <w:rFonts w:ascii="Aptos" w:hAnsi="Aptos"/>
          <w:sz w:val="24"/>
          <w:szCs w:val="24"/>
        </w:rPr>
      </w:pPr>
    </w:p>
    <w:p w14:paraId="52A98941" w14:textId="30E7C6C3" w:rsidR="00FB7D91" w:rsidRDefault="003E5434" w:rsidP="006E0B6C">
      <w:pPr>
        <w:rPr>
          <w:rFonts w:ascii="Aptos" w:hAnsi="Aptos"/>
          <w:sz w:val="24"/>
          <w:szCs w:val="24"/>
        </w:rPr>
      </w:pPr>
      <w:r w:rsidRPr="006E0B6C">
        <w:rPr>
          <w:rFonts w:ascii="Aptos" w:hAnsi="Aptos"/>
          <w:sz w:val="24"/>
          <w:szCs w:val="24"/>
        </w:rPr>
        <w:t>EARNED INCOME</w:t>
      </w:r>
    </w:p>
    <w:p w14:paraId="5FA32E66" w14:textId="77777777" w:rsidR="003E5434" w:rsidRPr="006E0B6C" w:rsidRDefault="003E5434" w:rsidP="006E0B6C">
      <w:pPr>
        <w:rPr>
          <w:rFonts w:ascii="Aptos" w:hAnsi="Aptos"/>
          <w:sz w:val="24"/>
          <w:szCs w:val="24"/>
        </w:rPr>
      </w:pPr>
    </w:p>
    <w:p w14:paraId="52A98943" w14:textId="03759D29" w:rsidR="00FB7D91" w:rsidRPr="006E0B6C" w:rsidRDefault="003E5434" w:rsidP="006E0B6C">
      <w:pPr>
        <w:rPr>
          <w:rFonts w:ascii="Aptos" w:hAnsi="Aptos"/>
          <w:sz w:val="24"/>
          <w:szCs w:val="24"/>
        </w:rPr>
      </w:pPr>
      <w:proofErr w:type="gramStart"/>
      <w:r w:rsidRPr="006E0B6C">
        <w:rPr>
          <w:rFonts w:ascii="Aptos" w:hAnsi="Aptos"/>
          <w:sz w:val="24"/>
          <w:szCs w:val="24"/>
        </w:rPr>
        <w:t>As a general rule</w:t>
      </w:r>
      <w:proofErr w:type="gramEnd"/>
      <w:r w:rsidRPr="006E0B6C">
        <w:rPr>
          <w:rFonts w:ascii="Aptos" w:hAnsi="Aptos"/>
          <w:sz w:val="24"/>
          <w:szCs w:val="24"/>
        </w:rPr>
        <w:t>, you must have earned income from working to be eligible to fund a Traditional IRA. However, if you are married and file a joint tax return with your spouse, you can meet this</w:t>
      </w:r>
      <w:r w:rsidR="00DB2106">
        <w:rPr>
          <w:rFonts w:ascii="Aptos" w:hAnsi="Aptos"/>
          <w:sz w:val="24"/>
          <w:szCs w:val="24"/>
        </w:rPr>
        <w:t xml:space="preserve"> </w:t>
      </w:r>
      <w:r w:rsidRPr="006E0B6C">
        <w:rPr>
          <w:rFonts w:ascii="Aptos" w:hAnsi="Aptos"/>
          <w:sz w:val="24"/>
          <w:szCs w:val="24"/>
        </w:rPr>
        <w:t>requirement based on your own earned income or the earned income of your spouse. The maximum amount you, as an individual, can contribute for a given year is the lesser of the applicable federal limit for that tax year or 100% of your earned income.</w:t>
      </w:r>
    </w:p>
    <w:p w14:paraId="52A98944" w14:textId="77777777" w:rsidR="00FB7D91" w:rsidRPr="006E0B6C" w:rsidRDefault="00FB7D91" w:rsidP="006E0B6C">
      <w:pPr>
        <w:rPr>
          <w:rFonts w:ascii="Aptos" w:hAnsi="Aptos"/>
          <w:sz w:val="24"/>
          <w:szCs w:val="24"/>
        </w:rPr>
      </w:pPr>
    </w:p>
    <w:tbl>
      <w:tblPr>
        <w:tblW w:w="0" w:type="auto"/>
        <w:tblInd w:w="1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5"/>
        <w:gridCol w:w="1713"/>
        <w:gridCol w:w="1350"/>
        <w:gridCol w:w="2520"/>
      </w:tblGrid>
      <w:tr w:rsidR="00FB7D91" w:rsidRPr="006E0B6C" w14:paraId="52A98946" w14:textId="77777777" w:rsidTr="003E5434">
        <w:trPr>
          <w:trHeight w:val="455"/>
        </w:trPr>
        <w:tc>
          <w:tcPr>
            <w:tcW w:w="6888" w:type="dxa"/>
            <w:gridSpan w:val="4"/>
            <w:tcBorders>
              <w:top w:val="nil"/>
              <w:left w:val="nil"/>
              <w:bottom w:val="nil"/>
              <w:right w:val="nil"/>
            </w:tcBorders>
            <w:shd w:val="clear" w:color="auto" w:fill="231F20"/>
          </w:tcPr>
          <w:p w14:paraId="52A98945" w14:textId="77777777" w:rsidR="00FB7D91" w:rsidRPr="006E0B6C" w:rsidRDefault="003E5434" w:rsidP="006E0B6C">
            <w:pPr>
              <w:rPr>
                <w:rFonts w:ascii="Aptos" w:hAnsi="Aptos"/>
                <w:sz w:val="24"/>
                <w:szCs w:val="24"/>
              </w:rPr>
            </w:pPr>
            <w:r w:rsidRPr="006E0B6C">
              <w:rPr>
                <w:rFonts w:ascii="Aptos" w:hAnsi="Aptos"/>
                <w:sz w:val="24"/>
                <w:szCs w:val="24"/>
              </w:rPr>
              <w:t>MAXIMUM IRA CONTRIBUTION</w:t>
            </w:r>
          </w:p>
        </w:tc>
      </w:tr>
      <w:tr w:rsidR="00FB7D91" w:rsidRPr="006E0B6C" w14:paraId="52A98949" w14:textId="77777777" w:rsidTr="003E5434">
        <w:trPr>
          <w:trHeight w:val="445"/>
        </w:trPr>
        <w:tc>
          <w:tcPr>
            <w:tcW w:w="3018" w:type="dxa"/>
            <w:gridSpan w:val="2"/>
            <w:tcBorders>
              <w:top w:val="nil"/>
            </w:tcBorders>
            <w:shd w:val="clear" w:color="auto" w:fill="EAEBEC"/>
          </w:tcPr>
          <w:p w14:paraId="52A98947" w14:textId="715FA01E" w:rsidR="00FB7D91" w:rsidRPr="006E0B6C" w:rsidRDefault="003E5434" w:rsidP="006E0B6C">
            <w:pPr>
              <w:rPr>
                <w:rFonts w:ascii="Aptos" w:hAnsi="Aptos"/>
                <w:sz w:val="24"/>
                <w:szCs w:val="24"/>
              </w:rPr>
            </w:pPr>
            <w:r w:rsidRPr="006E0B6C">
              <w:rPr>
                <w:rFonts w:ascii="Aptos" w:hAnsi="Aptos"/>
                <w:sz w:val="24"/>
                <w:szCs w:val="24"/>
              </w:rPr>
              <w:t>202</w:t>
            </w:r>
            <w:r w:rsidR="00F83F19">
              <w:rPr>
                <w:rFonts w:ascii="Aptos" w:hAnsi="Aptos"/>
                <w:sz w:val="24"/>
                <w:szCs w:val="24"/>
              </w:rPr>
              <w:t>5</w:t>
            </w:r>
          </w:p>
        </w:tc>
        <w:tc>
          <w:tcPr>
            <w:tcW w:w="3870" w:type="dxa"/>
            <w:gridSpan w:val="2"/>
            <w:tcBorders>
              <w:top w:val="nil"/>
            </w:tcBorders>
            <w:shd w:val="clear" w:color="auto" w:fill="EAEBEC"/>
          </w:tcPr>
          <w:p w14:paraId="52A98948" w14:textId="03194133" w:rsidR="00FB7D91" w:rsidRPr="006E0B6C" w:rsidRDefault="003E5434" w:rsidP="006E0B6C">
            <w:pPr>
              <w:rPr>
                <w:rFonts w:ascii="Aptos" w:hAnsi="Aptos"/>
                <w:sz w:val="24"/>
                <w:szCs w:val="24"/>
              </w:rPr>
            </w:pPr>
            <w:r w:rsidRPr="006E0B6C">
              <w:rPr>
                <w:rFonts w:ascii="Aptos" w:hAnsi="Aptos"/>
                <w:sz w:val="24"/>
                <w:szCs w:val="24"/>
              </w:rPr>
              <w:t>202</w:t>
            </w:r>
            <w:r w:rsidR="00F83F19">
              <w:rPr>
                <w:rFonts w:ascii="Aptos" w:hAnsi="Aptos"/>
                <w:sz w:val="24"/>
                <w:szCs w:val="24"/>
              </w:rPr>
              <w:t>4</w:t>
            </w:r>
          </w:p>
        </w:tc>
      </w:tr>
      <w:tr w:rsidR="00FB7D91" w:rsidRPr="006E0B6C" w14:paraId="52A9894E" w14:textId="77777777" w:rsidTr="003E5434">
        <w:trPr>
          <w:trHeight w:val="621"/>
        </w:trPr>
        <w:tc>
          <w:tcPr>
            <w:tcW w:w="1305" w:type="dxa"/>
          </w:tcPr>
          <w:p w14:paraId="52A9894A" w14:textId="77777777" w:rsidR="00FB7D91" w:rsidRPr="006E0B6C" w:rsidRDefault="003E5434" w:rsidP="006E0B6C">
            <w:pPr>
              <w:rPr>
                <w:rFonts w:ascii="Aptos" w:hAnsi="Aptos"/>
                <w:sz w:val="24"/>
                <w:szCs w:val="24"/>
              </w:rPr>
            </w:pPr>
            <w:r w:rsidRPr="006E0B6C">
              <w:rPr>
                <w:rFonts w:ascii="Aptos" w:hAnsi="Aptos"/>
                <w:sz w:val="24"/>
                <w:szCs w:val="24"/>
              </w:rPr>
              <w:t>&lt; Age 50</w:t>
            </w:r>
          </w:p>
        </w:tc>
        <w:tc>
          <w:tcPr>
            <w:tcW w:w="1713" w:type="dxa"/>
          </w:tcPr>
          <w:p w14:paraId="52A9894B" w14:textId="77777777" w:rsidR="00FB7D91" w:rsidRPr="006E0B6C" w:rsidRDefault="003E5434" w:rsidP="006E0B6C">
            <w:pPr>
              <w:rPr>
                <w:rFonts w:ascii="Aptos" w:hAnsi="Aptos"/>
                <w:sz w:val="24"/>
                <w:szCs w:val="24"/>
              </w:rPr>
            </w:pPr>
            <w:r w:rsidRPr="006E0B6C">
              <w:rPr>
                <w:rFonts w:ascii="Aptos" w:hAnsi="Aptos"/>
                <w:sz w:val="24"/>
                <w:szCs w:val="24"/>
              </w:rPr>
              <w:t>Age 50 Or Older</w:t>
            </w:r>
          </w:p>
        </w:tc>
        <w:tc>
          <w:tcPr>
            <w:tcW w:w="1350" w:type="dxa"/>
          </w:tcPr>
          <w:p w14:paraId="52A9894C" w14:textId="77777777" w:rsidR="00FB7D91" w:rsidRPr="006E0B6C" w:rsidRDefault="003E5434" w:rsidP="006E0B6C">
            <w:pPr>
              <w:rPr>
                <w:rFonts w:ascii="Aptos" w:hAnsi="Aptos"/>
                <w:sz w:val="24"/>
                <w:szCs w:val="24"/>
              </w:rPr>
            </w:pPr>
            <w:r w:rsidRPr="006E0B6C">
              <w:rPr>
                <w:rFonts w:ascii="Aptos" w:hAnsi="Aptos"/>
                <w:sz w:val="24"/>
                <w:szCs w:val="24"/>
              </w:rPr>
              <w:t>&lt; Age 50</w:t>
            </w:r>
          </w:p>
        </w:tc>
        <w:tc>
          <w:tcPr>
            <w:tcW w:w="2520" w:type="dxa"/>
          </w:tcPr>
          <w:p w14:paraId="52A9894D" w14:textId="77777777" w:rsidR="00FB7D91" w:rsidRPr="006E0B6C" w:rsidRDefault="003E5434" w:rsidP="006E0B6C">
            <w:pPr>
              <w:rPr>
                <w:rFonts w:ascii="Aptos" w:hAnsi="Aptos"/>
                <w:sz w:val="24"/>
                <w:szCs w:val="24"/>
              </w:rPr>
            </w:pPr>
            <w:r w:rsidRPr="006E0B6C">
              <w:rPr>
                <w:rFonts w:ascii="Aptos" w:hAnsi="Aptos"/>
                <w:sz w:val="24"/>
                <w:szCs w:val="24"/>
              </w:rPr>
              <w:t>Age 50 Or Older</w:t>
            </w:r>
          </w:p>
        </w:tc>
      </w:tr>
      <w:tr w:rsidR="00FB7D91" w:rsidRPr="006E0B6C" w14:paraId="52A98953" w14:textId="77777777" w:rsidTr="003E5434">
        <w:trPr>
          <w:trHeight w:val="440"/>
        </w:trPr>
        <w:tc>
          <w:tcPr>
            <w:tcW w:w="1305" w:type="dxa"/>
          </w:tcPr>
          <w:p w14:paraId="52A9894F" w14:textId="77777777" w:rsidR="00FB7D91" w:rsidRPr="006E0B6C" w:rsidRDefault="003E5434" w:rsidP="006E0B6C">
            <w:pPr>
              <w:rPr>
                <w:rFonts w:ascii="Aptos" w:hAnsi="Aptos"/>
                <w:sz w:val="24"/>
                <w:szCs w:val="24"/>
              </w:rPr>
            </w:pPr>
            <w:r w:rsidRPr="006E0B6C">
              <w:rPr>
                <w:rFonts w:ascii="Aptos" w:hAnsi="Aptos"/>
                <w:sz w:val="24"/>
                <w:szCs w:val="24"/>
              </w:rPr>
              <w:t>$7,000</w:t>
            </w:r>
          </w:p>
        </w:tc>
        <w:tc>
          <w:tcPr>
            <w:tcW w:w="1713" w:type="dxa"/>
          </w:tcPr>
          <w:p w14:paraId="52A98950" w14:textId="77777777" w:rsidR="00FB7D91" w:rsidRPr="006E0B6C" w:rsidRDefault="003E5434" w:rsidP="006E0B6C">
            <w:pPr>
              <w:rPr>
                <w:rFonts w:ascii="Aptos" w:hAnsi="Aptos"/>
                <w:sz w:val="24"/>
                <w:szCs w:val="24"/>
              </w:rPr>
            </w:pPr>
            <w:r w:rsidRPr="006E0B6C">
              <w:rPr>
                <w:rFonts w:ascii="Aptos" w:hAnsi="Aptos"/>
                <w:sz w:val="24"/>
                <w:szCs w:val="24"/>
              </w:rPr>
              <w:t>$8,000</w:t>
            </w:r>
          </w:p>
        </w:tc>
        <w:tc>
          <w:tcPr>
            <w:tcW w:w="1350" w:type="dxa"/>
          </w:tcPr>
          <w:p w14:paraId="52A98951" w14:textId="77777777" w:rsidR="00FB7D91" w:rsidRPr="006E0B6C" w:rsidRDefault="003E5434" w:rsidP="006E0B6C">
            <w:pPr>
              <w:rPr>
                <w:rFonts w:ascii="Aptos" w:hAnsi="Aptos"/>
                <w:sz w:val="24"/>
                <w:szCs w:val="24"/>
              </w:rPr>
            </w:pPr>
            <w:r w:rsidRPr="006E0B6C">
              <w:rPr>
                <w:rFonts w:ascii="Aptos" w:hAnsi="Aptos"/>
                <w:sz w:val="24"/>
                <w:szCs w:val="24"/>
              </w:rPr>
              <w:t>$6,500</w:t>
            </w:r>
          </w:p>
        </w:tc>
        <w:tc>
          <w:tcPr>
            <w:tcW w:w="2520" w:type="dxa"/>
          </w:tcPr>
          <w:p w14:paraId="52A98952" w14:textId="77777777" w:rsidR="00FB7D91" w:rsidRPr="006E0B6C" w:rsidRDefault="003E5434" w:rsidP="006E0B6C">
            <w:pPr>
              <w:rPr>
                <w:rFonts w:ascii="Aptos" w:hAnsi="Aptos"/>
                <w:sz w:val="24"/>
                <w:szCs w:val="24"/>
              </w:rPr>
            </w:pPr>
            <w:r w:rsidRPr="006E0B6C">
              <w:rPr>
                <w:rFonts w:ascii="Aptos" w:hAnsi="Aptos"/>
                <w:sz w:val="24"/>
                <w:szCs w:val="24"/>
              </w:rPr>
              <w:t>$7,500</w:t>
            </w:r>
          </w:p>
        </w:tc>
      </w:tr>
    </w:tbl>
    <w:p w14:paraId="6BB231C7" w14:textId="77777777" w:rsidR="00DB2106" w:rsidRDefault="00DB2106" w:rsidP="006E0B6C">
      <w:pPr>
        <w:rPr>
          <w:rFonts w:ascii="Aptos" w:hAnsi="Aptos"/>
          <w:sz w:val="24"/>
          <w:szCs w:val="24"/>
        </w:rPr>
      </w:pPr>
    </w:p>
    <w:sectPr w:rsidR="00DB2106" w:rsidSect="003E543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91"/>
    <w:rsid w:val="00072180"/>
    <w:rsid w:val="003E5434"/>
    <w:rsid w:val="006E0B6C"/>
    <w:rsid w:val="007F5366"/>
    <w:rsid w:val="00837319"/>
    <w:rsid w:val="00A40633"/>
    <w:rsid w:val="00B11551"/>
    <w:rsid w:val="00CE34D8"/>
    <w:rsid w:val="00DB2106"/>
    <w:rsid w:val="00E70D49"/>
    <w:rsid w:val="00F83F19"/>
    <w:rsid w:val="00FB7D91"/>
    <w:rsid w:val="00FE095C"/>
    <w:rsid w:val="00FE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910"/>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64"/>
      <w:ind w:left="120"/>
      <w:outlineLvl w:val="0"/>
    </w:pPr>
    <w:rPr>
      <w:rFonts w:ascii="Tahoma" w:eastAsia="Tahoma" w:hAnsi="Tahoma" w:cs="Tahoma"/>
      <w:sz w:val="50"/>
      <w:szCs w:val="50"/>
    </w:rPr>
  </w:style>
  <w:style w:type="paragraph" w:styleId="Heading2">
    <w:name w:val="heading 2"/>
    <w:basedOn w:val="Normal"/>
    <w:uiPriority w:val="9"/>
    <w:unhideWhenUsed/>
    <w:qFormat/>
    <w:pPr>
      <w:spacing w:line="397" w:lineRule="exact"/>
      <w:ind w:left="1105"/>
      <w:outlineLvl w:val="1"/>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7"/>
      <w:ind w:left="289" w:right="304"/>
    </w:pPr>
    <w:rPr>
      <w:rFonts w:ascii="Tahoma" w:eastAsia="Tahoma" w:hAnsi="Tahoma" w:cs="Tahoma"/>
      <w:sz w:val="110"/>
      <w:szCs w:val="11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8"/>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CRPS-User</dc:creator>
  <cp:lastModifiedBy>Julie Robinson</cp:lastModifiedBy>
  <cp:revision>3</cp:revision>
  <dcterms:created xsi:type="dcterms:W3CDTF">2025-02-24T16:17:00Z</dcterms:created>
  <dcterms:modified xsi:type="dcterms:W3CDTF">2025-02-24T16:17:00Z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