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AC45C" w14:textId="5A69F9FD" w:rsidR="00217394" w:rsidRPr="002579D9" w:rsidRDefault="00EA2A30" w:rsidP="0056585F">
      <w:pPr>
        <w:pStyle w:val="Heading3"/>
        <w:spacing w:before="81"/>
        <w:rPr>
          <w:rFonts w:ascii="Aptos" w:hAnsi="Aptos"/>
          <w:b/>
          <w:bCs/>
          <w:spacing w:val="-10"/>
          <w:sz w:val="28"/>
          <w:szCs w:val="28"/>
        </w:rPr>
      </w:pPr>
      <w:r w:rsidRPr="002579D9">
        <w:rPr>
          <w:rFonts w:ascii="Aptos" w:hAnsi="Aptos"/>
          <w:b/>
          <w:bCs/>
          <w:spacing w:val="-10"/>
          <w:sz w:val="28"/>
          <w:szCs w:val="28"/>
        </w:rPr>
        <w:t>IRA</w:t>
      </w:r>
      <w:r w:rsidR="002579D9" w:rsidRPr="002579D9">
        <w:rPr>
          <w:rFonts w:ascii="Aptos" w:hAnsi="Aptos"/>
          <w:b/>
          <w:bCs/>
          <w:spacing w:val="-10"/>
          <w:sz w:val="28"/>
          <w:szCs w:val="28"/>
        </w:rPr>
        <w:t xml:space="preserve"> TRANSFERS AND ROLLOVERS</w:t>
      </w:r>
    </w:p>
    <w:p w14:paraId="08CC35F3" w14:textId="77777777" w:rsidR="002579D9" w:rsidRPr="00EA2A30" w:rsidRDefault="002579D9" w:rsidP="0056585F">
      <w:pPr>
        <w:pStyle w:val="Heading3"/>
        <w:spacing w:before="81"/>
        <w:rPr>
          <w:rFonts w:ascii="Aptos" w:hAnsi="Aptos"/>
          <w:spacing w:val="-10"/>
        </w:rPr>
      </w:pPr>
    </w:p>
    <w:p w14:paraId="4906B962" w14:textId="6EA00789" w:rsidR="00156DF6" w:rsidRDefault="00156DF6" w:rsidP="002D0913">
      <w:pPr>
        <w:rPr>
          <w:rFonts w:ascii="Aptos" w:hAnsi="Aptos"/>
          <w:sz w:val="24"/>
          <w:szCs w:val="24"/>
        </w:rPr>
      </w:pPr>
      <w:r>
        <w:rPr>
          <w:rFonts w:ascii="Aptos" w:hAnsi="Aptos"/>
          <w:sz w:val="24"/>
          <w:szCs w:val="24"/>
        </w:rPr>
        <w:t>IRA-</w:t>
      </w:r>
      <w:r w:rsidR="009C61C5">
        <w:rPr>
          <w:rFonts w:ascii="Aptos" w:hAnsi="Aptos"/>
          <w:sz w:val="24"/>
          <w:szCs w:val="24"/>
        </w:rPr>
        <w:t>TO</w:t>
      </w:r>
      <w:r>
        <w:rPr>
          <w:rFonts w:ascii="Aptos" w:hAnsi="Aptos"/>
          <w:sz w:val="24"/>
          <w:szCs w:val="24"/>
        </w:rPr>
        <w:t xml:space="preserve">-IRA </w:t>
      </w:r>
      <w:r w:rsidR="00423A9F">
        <w:rPr>
          <w:rFonts w:ascii="Aptos" w:hAnsi="Aptos"/>
          <w:sz w:val="24"/>
          <w:szCs w:val="24"/>
        </w:rPr>
        <w:t>TRANSFERS</w:t>
      </w:r>
    </w:p>
    <w:p w14:paraId="42F96756" w14:textId="77777777" w:rsidR="007D22C2" w:rsidRDefault="007D22C2" w:rsidP="007D22C2">
      <w:pPr>
        <w:widowControl/>
        <w:adjustRightInd w:val="0"/>
        <w:rPr>
          <w:rFonts w:ascii="Aptos" w:eastAsiaTheme="minorHAnsi" w:hAnsi="Aptos" w:cs="Futura-CondensedMedium"/>
          <w:sz w:val="24"/>
          <w:szCs w:val="24"/>
        </w:rPr>
      </w:pPr>
    </w:p>
    <w:p w14:paraId="616E8523" w14:textId="77F667CF" w:rsidR="007D22C2" w:rsidRPr="007D22C2" w:rsidRDefault="007D22C2" w:rsidP="007D22C2">
      <w:pPr>
        <w:widowControl/>
        <w:adjustRightInd w:val="0"/>
        <w:rPr>
          <w:rFonts w:ascii="Aptos" w:eastAsiaTheme="minorHAnsi" w:hAnsi="Aptos" w:cs="Futura-CondensedMedium"/>
          <w:sz w:val="24"/>
          <w:szCs w:val="24"/>
        </w:rPr>
      </w:pPr>
      <w:r w:rsidRPr="007D22C2">
        <w:rPr>
          <w:rFonts w:ascii="Aptos" w:eastAsiaTheme="minorHAnsi" w:hAnsi="Aptos" w:cs="Futura-CondensedMedium"/>
          <w:sz w:val="24"/>
          <w:szCs w:val="24"/>
        </w:rPr>
        <w:t>1, 2, 3, It’s as Simple as Can Be</w:t>
      </w:r>
    </w:p>
    <w:p w14:paraId="5E25A8A9" w14:textId="77777777" w:rsidR="00156DF6" w:rsidRDefault="00156DF6" w:rsidP="002D0913">
      <w:pPr>
        <w:rPr>
          <w:rFonts w:ascii="Aptos" w:hAnsi="Aptos"/>
          <w:sz w:val="24"/>
          <w:szCs w:val="24"/>
        </w:rPr>
      </w:pPr>
    </w:p>
    <w:p w14:paraId="2D9359DA" w14:textId="411203F2" w:rsidR="007D22C2" w:rsidRDefault="007D22C2" w:rsidP="007D22C2">
      <w:pPr>
        <w:widowControl/>
        <w:adjustRightInd w:val="0"/>
        <w:rPr>
          <w:rFonts w:ascii="Aptos" w:eastAsiaTheme="minorHAnsi" w:hAnsi="Aptos" w:cs="HelveticaNeueLTStd-Roman"/>
          <w:sz w:val="24"/>
          <w:szCs w:val="24"/>
        </w:rPr>
      </w:pPr>
      <w:r w:rsidRPr="007D22C2">
        <w:rPr>
          <w:rFonts w:ascii="Aptos" w:eastAsiaTheme="minorHAnsi" w:hAnsi="Aptos" w:cs="HelveticaNeueLTStd-Roman"/>
          <w:sz w:val="24"/>
          <w:szCs w:val="24"/>
        </w:rPr>
        <w:t>One of the many great features of IRAs is the</w:t>
      </w:r>
      <w:r>
        <w:rPr>
          <w:rFonts w:ascii="Aptos" w:eastAsiaTheme="minorHAnsi" w:hAnsi="Aptos" w:cs="HelveticaNeueLTStd-Roman"/>
          <w:sz w:val="24"/>
          <w:szCs w:val="24"/>
        </w:rPr>
        <w:t xml:space="preserve"> </w:t>
      </w:r>
      <w:r w:rsidRPr="007D22C2">
        <w:rPr>
          <w:rFonts w:ascii="Aptos" w:eastAsiaTheme="minorHAnsi" w:hAnsi="Aptos" w:cs="HelveticaNeueLTStd-Roman"/>
          <w:sz w:val="24"/>
          <w:szCs w:val="24"/>
        </w:rPr>
        <w:t>amount of flexibility and control you have over</w:t>
      </w:r>
      <w:r>
        <w:rPr>
          <w:rFonts w:ascii="Aptos" w:eastAsiaTheme="minorHAnsi" w:hAnsi="Aptos" w:cs="HelveticaNeueLTStd-Roman"/>
          <w:sz w:val="24"/>
          <w:szCs w:val="24"/>
        </w:rPr>
        <w:t xml:space="preserve"> </w:t>
      </w:r>
      <w:r w:rsidRPr="007D22C2">
        <w:rPr>
          <w:rFonts w:ascii="Aptos" w:eastAsiaTheme="minorHAnsi" w:hAnsi="Aptos" w:cs="HelveticaNeueLTStd-Roman"/>
          <w:sz w:val="24"/>
          <w:szCs w:val="24"/>
        </w:rPr>
        <w:t>your retirement savings. As an IRA owner, you</w:t>
      </w:r>
      <w:r>
        <w:rPr>
          <w:rFonts w:ascii="Aptos" w:eastAsiaTheme="minorHAnsi" w:hAnsi="Aptos" w:cs="HelveticaNeueLTStd-Roman"/>
          <w:sz w:val="24"/>
          <w:szCs w:val="24"/>
        </w:rPr>
        <w:t xml:space="preserve"> </w:t>
      </w:r>
      <w:r w:rsidRPr="007D22C2">
        <w:rPr>
          <w:rFonts w:ascii="Aptos" w:eastAsiaTheme="minorHAnsi" w:hAnsi="Aptos" w:cs="HelveticaNeueLTStd-Roman"/>
          <w:sz w:val="24"/>
          <w:szCs w:val="24"/>
        </w:rPr>
        <w:t>control where your IRA funds are held and</w:t>
      </w:r>
      <w:r>
        <w:rPr>
          <w:rFonts w:ascii="Aptos" w:eastAsiaTheme="minorHAnsi" w:hAnsi="Aptos" w:cs="HelveticaNeueLTStd-Roman"/>
          <w:sz w:val="24"/>
          <w:szCs w:val="24"/>
        </w:rPr>
        <w:t xml:space="preserve"> </w:t>
      </w:r>
      <w:r w:rsidRPr="007D22C2">
        <w:rPr>
          <w:rFonts w:ascii="Aptos" w:eastAsiaTheme="minorHAnsi" w:hAnsi="Aptos" w:cs="HelveticaNeueLTStd-Roman"/>
          <w:sz w:val="24"/>
          <w:szCs w:val="24"/>
        </w:rPr>
        <w:t>how they will be invested. Sometimes, this</w:t>
      </w:r>
      <w:r>
        <w:rPr>
          <w:rFonts w:ascii="Aptos" w:eastAsiaTheme="minorHAnsi" w:hAnsi="Aptos" w:cs="HelveticaNeueLTStd-Roman"/>
          <w:sz w:val="24"/>
          <w:szCs w:val="24"/>
        </w:rPr>
        <w:t xml:space="preserve"> </w:t>
      </w:r>
      <w:r w:rsidRPr="007D22C2">
        <w:rPr>
          <w:rFonts w:ascii="Aptos" w:eastAsiaTheme="minorHAnsi" w:hAnsi="Aptos" w:cs="HelveticaNeueLTStd-Roman"/>
          <w:sz w:val="24"/>
          <w:szCs w:val="24"/>
        </w:rPr>
        <w:t>means moving your IRA funds from one</w:t>
      </w:r>
      <w:r>
        <w:rPr>
          <w:rFonts w:ascii="Aptos" w:eastAsiaTheme="minorHAnsi" w:hAnsi="Aptos" w:cs="HelveticaNeueLTStd-Roman"/>
          <w:sz w:val="24"/>
          <w:szCs w:val="24"/>
        </w:rPr>
        <w:t xml:space="preserve"> </w:t>
      </w:r>
      <w:r w:rsidRPr="007D22C2">
        <w:rPr>
          <w:rFonts w:ascii="Aptos" w:eastAsiaTheme="minorHAnsi" w:hAnsi="Aptos" w:cs="HelveticaNeueLTStd-Roman"/>
          <w:sz w:val="24"/>
          <w:szCs w:val="24"/>
        </w:rPr>
        <w:t>provider to another. There are two methods</w:t>
      </w:r>
      <w:r>
        <w:rPr>
          <w:rFonts w:ascii="Aptos" w:eastAsiaTheme="minorHAnsi" w:hAnsi="Aptos" w:cs="HelveticaNeueLTStd-Roman"/>
          <w:sz w:val="24"/>
          <w:szCs w:val="24"/>
        </w:rPr>
        <w:t xml:space="preserve"> </w:t>
      </w:r>
      <w:r w:rsidRPr="007D22C2">
        <w:rPr>
          <w:rFonts w:ascii="Aptos" w:eastAsiaTheme="minorHAnsi" w:hAnsi="Aptos" w:cs="HelveticaNeueLTStd-Roman"/>
          <w:sz w:val="24"/>
          <w:szCs w:val="24"/>
        </w:rPr>
        <w:t>from which to choose when moving IRA funds</w:t>
      </w:r>
      <w:r>
        <w:rPr>
          <w:rFonts w:ascii="Aptos" w:eastAsiaTheme="minorHAnsi" w:hAnsi="Aptos" w:cs="HelveticaNeueLTStd-Roman"/>
          <w:sz w:val="24"/>
          <w:szCs w:val="24"/>
        </w:rPr>
        <w:t xml:space="preserve"> </w:t>
      </w:r>
      <w:r w:rsidRPr="007D22C2">
        <w:rPr>
          <w:rFonts w:ascii="Aptos" w:eastAsiaTheme="minorHAnsi" w:hAnsi="Aptos" w:cs="HelveticaNeueLTStd-Roman"/>
          <w:sz w:val="24"/>
          <w:szCs w:val="24"/>
        </w:rPr>
        <w:t>between providers.</w:t>
      </w:r>
    </w:p>
    <w:p w14:paraId="68D568D3" w14:textId="77777777" w:rsidR="007D22C2" w:rsidRPr="007D22C2" w:rsidRDefault="007D22C2" w:rsidP="007D22C2">
      <w:pPr>
        <w:widowControl/>
        <w:adjustRightInd w:val="0"/>
        <w:rPr>
          <w:rFonts w:ascii="Aptos" w:eastAsiaTheme="minorHAnsi" w:hAnsi="Aptos" w:cs="HelveticaNeueLTStd-Roman"/>
          <w:sz w:val="24"/>
          <w:szCs w:val="24"/>
        </w:rPr>
      </w:pPr>
    </w:p>
    <w:p w14:paraId="08EAD325" w14:textId="77777777" w:rsidR="007D22C2" w:rsidRPr="007D22C2" w:rsidRDefault="007D22C2" w:rsidP="007D22C2">
      <w:pPr>
        <w:widowControl/>
        <w:adjustRightInd w:val="0"/>
        <w:rPr>
          <w:rFonts w:ascii="Aptos" w:eastAsiaTheme="minorHAnsi" w:hAnsi="Aptos" w:cs="HelveticaNeueLTStd-Roman"/>
          <w:sz w:val="24"/>
          <w:szCs w:val="24"/>
        </w:rPr>
      </w:pPr>
      <w:r w:rsidRPr="007D22C2">
        <w:rPr>
          <w:rFonts w:ascii="Aptos" w:eastAsiaTheme="minorHAnsi" w:hAnsi="Aptos" w:cs="HelveticaNeueLTStd-Roman"/>
          <w:sz w:val="24"/>
          <w:szCs w:val="24"/>
        </w:rPr>
        <w:t>Option #1: IRA-to-IRA Transfer</w:t>
      </w:r>
    </w:p>
    <w:p w14:paraId="33B2E8D7" w14:textId="77777777" w:rsidR="007D22C2" w:rsidRPr="007D22C2" w:rsidRDefault="007D22C2" w:rsidP="007D22C2">
      <w:pPr>
        <w:widowControl/>
        <w:adjustRightInd w:val="0"/>
        <w:rPr>
          <w:rFonts w:ascii="Aptos" w:eastAsiaTheme="minorHAnsi" w:hAnsi="Aptos" w:cs="HelveticaNeueLTStd-Roman"/>
          <w:sz w:val="24"/>
          <w:szCs w:val="24"/>
        </w:rPr>
      </w:pPr>
      <w:r w:rsidRPr="007D22C2">
        <w:rPr>
          <w:rFonts w:ascii="Aptos" w:eastAsiaTheme="minorHAnsi" w:hAnsi="Aptos" w:cs="HelveticaNeueLTStd-Roman"/>
          <w:sz w:val="24"/>
          <w:szCs w:val="24"/>
        </w:rPr>
        <w:t>Option #2: IRA-to-IRA Rollover</w:t>
      </w:r>
    </w:p>
    <w:p w14:paraId="0AE96261" w14:textId="77777777" w:rsidR="007D22C2" w:rsidRDefault="007D22C2" w:rsidP="007D22C2">
      <w:pPr>
        <w:widowControl/>
        <w:adjustRightInd w:val="0"/>
        <w:rPr>
          <w:rFonts w:ascii="Aptos" w:eastAsiaTheme="minorHAnsi" w:hAnsi="Aptos" w:cs="HelveticaNeueLTStd-Roman"/>
          <w:sz w:val="24"/>
          <w:szCs w:val="24"/>
        </w:rPr>
      </w:pPr>
    </w:p>
    <w:p w14:paraId="719B54FF" w14:textId="5E234A61" w:rsidR="007D22C2" w:rsidRPr="007D22C2" w:rsidRDefault="007D22C2" w:rsidP="007D22C2">
      <w:pPr>
        <w:widowControl/>
        <w:adjustRightInd w:val="0"/>
        <w:rPr>
          <w:rFonts w:ascii="Aptos" w:eastAsiaTheme="minorHAnsi" w:hAnsi="Aptos" w:cs="HelveticaNeueLTStd-Roman"/>
          <w:sz w:val="24"/>
          <w:szCs w:val="24"/>
        </w:rPr>
      </w:pPr>
      <w:r w:rsidRPr="007D22C2">
        <w:rPr>
          <w:rFonts w:ascii="Aptos" w:eastAsiaTheme="minorHAnsi" w:hAnsi="Aptos" w:cs="HelveticaNeueLTStd-Roman"/>
          <w:sz w:val="24"/>
          <w:szCs w:val="24"/>
        </w:rPr>
        <w:t>Let’s take a closer look at both options.</w:t>
      </w:r>
    </w:p>
    <w:p w14:paraId="772B1848" w14:textId="77777777" w:rsidR="007D22C2" w:rsidRDefault="007D22C2" w:rsidP="007D22C2">
      <w:pPr>
        <w:rPr>
          <w:rFonts w:ascii="Aptos" w:eastAsiaTheme="minorHAnsi" w:hAnsi="Aptos" w:cs="MyriadPro-Regular"/>
          <w:sz w:val="24"/>
          <w:szCs w:val="24"/>
        </w:rPr>
      </w:pPr>
    </w:p>
    <w:p w14:paraId="5430268E" w14:textId="77777777" w:rsidR="00CB5D04" w:rsidRDefault="00CB5D04" w:rsidP="002D0913">
      <w:pPr>
        <w:rPr>
          <w:rFonts w:ascii="Aptos" w:hAnsi="Aptos"/>
          <w:sz w:val="24"/>
          <w:szCs w:val="24"/>
        </w:rPr>
      </w:pPr>
      <w:r>
        <w:rPr>
          <w:rFonts w:ascii="Aptos" w:hAnsi="Aptos"/>
          <w:sz w:val="24"/>
          <w:szCs w:val="24"/>
        </w:rPr>
        <w:t>IRA-TO-IRA TRANSFERS</w:t>
      </w:r>
    </w:p>
    <w:p w14:paraId="092504AD" w14:textId="77777777" w:rsidR="00CB5D04" w:rsidRDefault="00CB5D04" w:rsidP="002D0913">
      <w:pPr>
        <w:rPr>
          <w:rFonts w:ascii="Aptos" w:hAnsi="Aptos"/>
          <w:sz w:val="24"/>
          <w:szCs w:val="24"/>
        </w:rPr>
      </w:pPr>
    </w:p>
    <w:p w14:paraId="004A4D34" w14:textId="5643FBF0" w:rsidR="0072057B" w:rsidRPr="002D0913" w:rsidRDefault="00000000" w:rsidP="002D0913">
      <w:pPr>
        <w:rPr>
          <w:rFonts w:ascii="Aptos" w:hAnsi="Aptos"/>
          <w:sz w:val="24"/>
          <w:szCs w:val="24"/>
        </w:rPr>
      </w:pPr>
      <w:r w:rsidRPr="002D0913">
        <w:rPr>
          <w:rFonts w:ascii="Aptos" w:hAnsi="Aptos"/>
          <w:sz w:val="24"/>
          <w:szCs w:val="24"/>
        </w:rPr>
        <w:t>An IRA-to-IRA transfer is generally the simplest way to move money between IRAs. When</w:t>
      </w:r>
      <w:r w:rsidR="00156DF6">
        <w:rPr>
          <w:rFonts w:ascii="Aptos" w:hAnsi="Aptos"/>
          <w:sz w:val="24"/>
          <w:szCs w:val="24"/>
        </w:rPr>
        <w:t xml:space="preserve"> </w:t>
      </w:r>
      <w:r w:rsidRPr="002D0913">
        <w:rPr>
          <w:rFonts w:ascii="Aptos" w:hAnsi="Aptos"/>
          <w:sz w:val="24"/>
          <w:szCs w:val="24"/>
        </w:rPr>
        <w:t>you initiate a transfer, you’re instructing one provider (Provider A) to send your IRA funds directly to another provider (Provider B).</w:t>
      </w:r>
      <w:r w:rsidR="00156DF6">
        <w:rPr>
          <w:rFonts w:ascii="Aptos" w:hAnsi="Aptos"/>
          <w:sz w:val="24"/>
          <w:szCs w:val="24"/>
        </w:rPr>
        <w:t xml:space="preserve"> </w:t>
      </w:r>
      <w:r w:rsidRPr="002D0913">
        <w:rPr>
          <w:rFonts w:ascii="Aptos" w:hAnsi="Aptos"/>
          <w:sz w:val="24"/>
          <w:szCs w:val="24"/>
        </w:rPr>
        <w:t>Because your IRA funds are not distributed to you in a transfer transaction (i.e., the funds go directly from Provider A to Provider B), the sending and receiving providers are not required to report the transaction to the IRS. In turn, this means that you do not need to report the IRA transfer transaction on your income tax return.</w:t>
      </w:r>
    </w:p>
    <w:p w14:paraId="004A4D35" w14:textId="77777777" w:rsidR="0072057B" w:rsidRPr="002D0913" w:rsidRDefault="0072057B" w:rsidP="002D0913">
      <w:pPr>
        <w:rPr>
          <w:rFonts w:ascii="Aptos" w:hAnsi="Aptos"/>
          <w:sz w:val="24"/>
          <w:szCs w:val="24"/>
        </w:rPr>
      </w:pPr>
    </w:p>
    <w:p w14:paraId="004A4D36" w14:textId="77777777" w:rsidR="0072057B" w:rsidRPr="002D0913" w:rsidRDefault="00000000" w:rsidP="002D0913">
      <w:pPr>
        <w:rPr>
          <w:rFonts w:ascii="Aptos" w:hAnsi="Aptos"/>
          <w:sz w:val="24"/>
          <w:szCs w:val="24"/>
        </w:rPr>
      </w:pPr>
      <w:r w:rsidRPr="002D0913">
        <w:rPr>
          <w:rFonts w:ascii="Aptos" w:hAnsi="Aptos"/>
          <w:sz w:val="24"/>
          <w:szCs w:val="24"/>
        </w:rPr>
        <w:t>Besides being the simplest way to move money between IRAs, there is no limit on the number or frequency of IRA transfers you may conduct during a given year.</w:t>
      </w:r>
    </w:p>
    <w:p w14:paraId="004A4D37" w14:textId="77777777" w:rsidR="0072057B" w:rsidRPr="002D0913" w:rsidRDefault="0072057B" w:rsidP="002D0913">
      <w:pPr>
        <w:rPr>
          <w:rFonts w:ascii="Aptos" w:hAnsi="Aptos"/>
          <w:sz w:val="24"/>
          <w:szCs w:val="24"/>
        </w:rPr>
      </w:pPr>
    </w:p>
    <w:p w14:paraId="004A4D38" w14:textId="77777777" w:rsidR="0072057B" w:rsidRPr="002D0913" w:rsidRDefault="00000000" w:rsidP="002D0913">
      <w:pPr>
        <w:rPr>
          <w:rFonts w:ascii="Aptos" w:hAnsi="Aptos"/>
          <w:sz w:val="24"/>
          <w:szCs w:val="24"/>
        </w:rPr>
      </w:pPr>
      <w:r w:rsidRPr="002D0913">
        <w:rPr>
          <w:rFonts w:ascii="Aptos" w:hAnsi="Aptos"/>
          <w:sz w:val="24"/>
          <w:szCs w:val="24"/>
        </w:rPr>
        <w:t>IRA-TO-IRA ROLLOVERS</w:t>
      </w:r>
    </w:p>
    <w:p w14:paraId="36061063" w14:textId="109929D6" w:rsidR="004F6471" w:rsidRPr="002D0913" w:rsidRDefault="00000000" w:rsidP="002D0913">
      <w:pPr>
        <w:rPr>
          <w:rFonts w:ascii="Aptos" w:hAnsi="Aptos"/>
          <w:sz w:val="24"/>
          <w:szCs w:val="24"/>
        </w:rPr>
      </w:pPr>
      <w:r w:rsidRPr="002D0913">
        <w:rPr>
          <w:rFonts w:ascii="Aptos" w:hAnsi="Aptos"/>
          <w:sz w:val="24"/>
          <w:szCs w:val="24"/>
        </w:rPr>
        <w:t>Another method for moving IRA funds from one provider to another is an IRA-to-IRA rollover. When conducting a rollover, IRA funds are distributed to you, and you are then responsible for redepositing the funds back</w:t>
      </w:r>
      <w:r w:rsidR="00A34345" w:rsidRPr="002D0913">
        <w:rPr>
          <w:rFonts w:ascii="Aptos" w:hAnsi="Aptos"/>
          <w:sz w:val="24"/>
          <w:szCs w:val="24"/>
        </w:rPr>
        <w:t xml:space="preserve"> </w:t>
      </w:r>
      <w:r w:rsidR="00A34345" w:rsidRPr="002D0913">
        <w:rPr>
          <w:rFonts w:ascii="Aptos" w:hAnsi="Aptos"/>
          <w:sz w:val="24"/>
          <w:szCs w:val="24"/>
        </w:rPr>
        <w:t>into an IRA within 60 days. While some IRA owners prefer the rollover option because it</w:t>
      </w:r>
      <w:r w:rsidR="00A34345" w:rsidRPr="002D0913">
        <w:rPr>
          <w:rFonts w:ascii="Aptos" w:hAnsi="Aptos"/>
          <w:sz w:val="24"/>
          <w:szCs w:val="24"/>
        </w:rPr>
        <w:t xml:space="preserve"> </w:t>
      </w:r>
      <w:r w:rsidRPr="002D0913">
        <w:rPr>
          <w:rFonts w:ascii="Aptos" w:hAnsi="Aptos"/>
          <w:sz w:val="24"/>
          <w:szCs w:val="24"/>
        </w:rPr>
        <w:t>provides them with access to their IRA funds for up to 60 days, there are important rules that must be followed—and, significant adverse tax consequences that can result if the rules are not followed.</w:t>
      </w:r>
      <w:r w:rsidR="004F6471" w:rsidRPr="002D0913">
        <w:rPr>
          <w:rFonts w:ascii="Aptos" w:hAnsi="Aptos"/>
          <w:sz w:val="24"/>
          <w:szCs w:val="24"/>
        </w:rPr>
        <w:t xml:space="preserve"> </w:t>
      </w:r>
    </w:p>
    <w:p w14:paraId="004A4D3C" w14:textId="77777777" w:rsidR="0072057B" w:rsidRPr="002D0913" w:rsidRDefault="0072057B" w:rsidP="002D0913">
      <w:pPr>
        <w:rPr>
          <w:rFonts w:ascii="Aptos" w:hAnsi="Aptos"/>
          <w:sz w:val="24"/>
          <w:szCs w:val="24"/>
        </w:rPr>
      </w:pPr>
    </w:p>
    <w:p w14:paraId="004A4D3D" w14:textId="77777777" w:rsidR="0072057B" w:rsidRDefault="00000000" w:rsidP="002D0913">
      <w:pPr>
        <w:rPr>
          <w:rFonts w:ascii="Aptos" w:hAnsi="Aptos"/>
          <w:sz w:val="24"/>
          <w:szCs w:val="24"/>
        </w:rPr>
      </w:pPr>
      <w:r w:rsidRPr="002D0913">
        <w:rPr>
          <w:rFonts w:ascii="Aptos" w:hAnsi="Aptos"/>
          <w:sz w:val="24"/>
          <w:szCs w:val="24"/>
        </w:rPr>
        <w:t>Here are three important factors to keep in mind when considering an IRA-to-IRA rollover:</w:t>
      </w:r>
    </w:p>
    <w:p w14:paraId="317120A4" w14:textId="77777777" w:rsidR="00C250B0" w:rsidRPr="002D0913" w:rsidRDefault="00C250B0" w:rsidP="002D0913">
      <w:pPr>
        <w:rPr>
          <w:rFonts w:ascii="Aptos" w:hAnsi="Aptos"/>
          <w:sz w:val="24"/>
          <w:szCs w:val="24"/>
        </w:rPr>
      </w:pPr>
    </w:p>
    <w:p w14:paraId="004A4D3E" w14:textId="55AE6BE7" w:rsidR="0072057B" w:rsidRPr="002D0913" w:rsidRDefault="00000000" w:rsidP="002D0913">
      <w:pPr>
        <w:rPr>
          <w:rFonts w:ascii="Aptos" w:hAnsi="Aptos"/>
          <w:sz w:val="24"/>
          <w:szCs w:val="24"/>
        </w:rPr>
      </w:pPr>
      <w:r w:rsidRPr="002D0913">
        <w:rPr>
          <w:rFonts w:ascii="Aptos" w:hAnsi="Aptos"/>
          <w:sz w:val="24"/>
          <w:szCs w:val="24"/>
        </w:rPr>
        <w:t>REPORTABLE TRANSACTION</w:t>
      </w:r>
    </w:p>
    <w:p w14:paraId="56290CEA" w14:textId="77777777" w:rsidR="00885C60" w:rsidRDefault="00885C60" w:rsidP="002D0913">
      <w:pPr>
        <w:rPr>
          <w:rFonts w:ascii="Aptos" w:hAnsi="Aptos"/>
          <w:sz w:val="24"/>
          <w:szCs w:val="24"/>
        </w:rPr>
      </w:pPr>
    </w:p>
    <w:p w14:paraId="1D4AB248" w14:textId="77777777" w:rsidR="00F3723F" w:rsidRDefault="00000000" w:rsidP="002D0913">
      <w:pPr>
        <w:rPr>
          <w:rFonts w:ascii="Aptos" w:hAnsi="Aptos"/>
          <w:sz w:val="24"/>
          <w:szCs w:val="24"/>
        </w:rPr>
      </w:pPr>
      <w:r w:rsidRPr="002D0913">
        <w:rPr>
          <w:rFonts w:ascii="Aptos" w:hAnsi="Aptos"/>
          <w:sz w:val="24"/>
          <w:szCs w:val="24"/>
        </w:rPr>
        <w:t xml:space="preserve">Unlike transfers, which are not reported to the IRS, rollovers must be reported to the IRS (by the distributing IRA provider, by the receiving </w:t>
      </w:r>
      <w:r w:rsidR="00F3723F">
        <w:rPr>
          <w:rFonts w:ascii="Aptos" w:hAnsi="Aptos"/>
          <w:sz w:val="24"/>
          <w:szCs w:val="24"/>
        </w:rPr>
        <w:t>IRA provider, and by the IRA owner).</w:t>
      </w:r>
    </w:p>
    <w:p w14:paraId="63A43401" w14:textId="77777777" w:rsidR="00F3723F" w:rsidRDefault="00F3723F" w:rsidP="002D0913">
      <w:pPr>
        <w:rPr>
          <w:rFonts w:ascii="Aptos" w:hAnsi="Aptos"/>
          <w:sz w:val="24"/>
          <w:szCs w:val="24"/>
        </w:rPr>
      </w:pPr>
    </w:p>
    <w:p w14:paraId="004A4D40" w14:textId="1F6E72B5" w:rsidR="0072057B" w:rsidRDefault="00000000" w:rsidP="002D0913">
      <w:pPr>
        <w:rPr>
          <w:rFonts w:ascii="Aptos" w:hAnsi="Aptos"/>
          <w:sz w:val="24"/>
          <w:szCs w:val="24"/>
        </w:rPr>
      </w:pPr>
      <w:r w:rsidRPr="002D0913">
        <w:rPr>
          <w:rFonts w:ascii="Aptos" w:hAnsi="Aptos"/>
          <w:sz w:val="24"/>
          <w:szCs w:val="24"/>
        </w:rPr>
        <w:lastRenderedPageBreak/>
        <w:t>60-DAY TIME LIMIT</w:t>
      </w:r>
    </w:p>
    <w:p w14:paraId="7450C2ED" w14:textId="77777777" w:rsidR="007C1804" w:rsidRPr="002D0913" w:rsidRDefault="007C1804" w:rsidP="002D0913">
      <w:pPr>
        <w:rPr>
          <w:rFonts w:ascii="Aptos" w:hAnsi="Aptos"/>
          <w:sz w:val="24"/>
          <w:szCs w:val="24"/>
        </w:rPr>
      </w:pPr>
    </w:p>
    <w:p w14:paraId="004A4D41" w14:textId="77777777" w:rsidR="0072057B" w:rsidRDefault="00000000" w:rsidP="002D0913">
      <w:pPr>
        <w:rPr>
          <w:rFonts w:ascii="Aptos" w:hAnsi="Aptos"/>
          <w:sz w:val="24"/>
          <w:szCs w:val="24"/>
        </w:rPr>
      </w:pPr>
      <w:r w:rsidRPr="002D0913">
        <w:rPr>
          <w:rFonts w:ascii="Aptos" w:hAnsi="Aptos"/>
          <w:sz w:val="24"/>
          <w:szCs w:val="24"/>
        </w:rPr>
        <w:t>Once you take distribution of funds from your IRA, you generally have 60 days within which to redeposit the funds to an IRA. As a general rule, if you do not redeposit the IRA funds within this 60-day timeframe, you forfeit the rollover option (meaning you must treat the distribution as a normal or early distribution which may be subject to taxes and penalties).</w:t>
      </w:r>
    </w:p>
    <w:p w14:paraId="3A57350D" w14:textId="77777777" w:rsidR="00786D4E" w:rsidRPr="002D0913" w:rsidRDefault="00786D4E" w:rsidP="002D0913">
      <w:pPr>
        <w:rPr>
          <w:rFonts w:ascii="Aptos" w:hAnsi="Aptos"/>
          <w:sz w:val="24"/>
          <w:szCs w:val="24"/>
        </w:rPr>
      </w:pPr>
    </w:p>
    <w:p w14:paraId="004A4D42" w14:textId="6B3351E8" w:rsidR="0072057B" w:rsidRDefault="00000000" w:rsidP="002D0913">
      <w:pPr>
        <w:rPr>
          <w:rFonts w:ascii="Aptos" w:hAnsi="Aptos"/>
          <w:sz w:val="24"/>
          <w:szCs w:val="24"/>
        </w:rPr>
      </w:pPr>
      <w:r w:rsidRPr="002D0913">
        <w:rPr>
          <w:rFonts w:ascii="Aptos" w:hAnsi="Aptos"/>
          <w:sz w:val="24"/>
          <w:szCs w:val="24"/>
        </w:rPr>
        <w:t>12-MONTH RESTRICTION</w:t>
      </w:r>
    </w:p>
    <w:p w14:paraId="5B89D452" w14:textId="77777777" w:rsidR="00786D4E" w:rsidRPr="002D0913" w:rsidRDefault="00786D4E" w:rsidP="002D0913">
      <w:pPr>
        <w:rPr>
          <w:rFonts w:ascii="Aptos" w:hAnsi="Aptos"/>
          <w:sz w:val="24"/>
          <w:szCs w:val="24"/>
        </w:rPr>
      </w:pPr>
    </w:p>
    <w:p w14:paraId="004A4D44" w14:textId="3613A5E5" w:rsidR="0072057B" w:rsidRPr="002D0913" w:rsidRDefault="00000000" w:rsidP="002D0913">
      <w:pPr>
        <w:rPr>
          <w:rFonts w:ascii="Aptos" w:hAnsi="Aptos"/>
          <w:sz w:val="24"/>
          <w:szCs w:val="24"/>
        </w:rPr>
      </w:pPr>
      <w:r w:rsidRPr="002D0913">
        <w:rPr>
          <w:rFonts w:ascii="Aptos" w:hAnsi="Aptos"/>
          <w:sz w:val="24"/>
          <w:szCs w:val="24"/>
        </w:rPr>
        <w:t>Unlike transfers (for which there is no limit on number or frequency), you may only conduct one IRA-to-IRA rollover transaction within a 12-month period. For example, if you take an IRA distribution on June 15th of</w:t>
      </w:r>
      <w:r w:rsidR="00491AC8">
        <w:rPr>
          <w:rFonts w:ascii="Aptos" w:hAnsi="Aptos"/>
          <w:sz w:val="24"/>
          <w:szCs w:val="24"/>
        </w:rPr>
        <w:t xml:space="preserve"> </w:t>
      </w:r>
      <w:r w:rsidR="00491AC8" w:rsidRPr="002D0913">
        <w:rPr>
          <w:rFonts w:ascii="Aptos" w:hAnsi="Aptos"/>
          <w:sz w:val="24"/>
          <w:szCs w:val="24"/>
        </w:rPr>
        <w:t xml:space="preserve">this year (Distribution #1) which you subsequently roll over within 60 days, you </w:t>
      </w:r>
      <w:r w:rsidRPr="002D0913">
        <w:rPr>
          <w:rFonts w:ascii="Aptos" w:hAnsi="Aptos"/>
          <w:sz w:val="24"/>
          <w:szCs w:val="24"/>
        </w:rPr>
        <w:t>cannot roll over any other IRA distributions taken during the 12-month period following Distribution #1. Violating this 12-month rollover restriction can result in significant tax and penalty consequences.</w:t>
      </w:r>
    </w:p>
    <w:p w14:paraId="004A4D45" w14:textId="77777777" w:rsidR="0072057B" w:rsidRPr="002D0913" w:rsidRDefault="0072057B" w:rsidP="002D0913">
      <w:pPr>
        <w:rPr>
          <w:rFonts w:ascii="Aptos" w:hAnsi="Aptos"/>
          <w:sz w:val="24"/>
          <w:szCs w:val="24"/>
        </w:rPr>
      </w:pPr>
    </w:p>
    <w:p w14:paraId="004A4D46" w14:textId="77777777" w:rsidR="0072057B" w:rsidRDefault="00000000" w:rsidP="002D0913">
      <w:pPr>
        <w:rPr>
          <w:rFonts w:ascii="Aptos" w:hAnsi="Aptos"/>
          <w:sz w:val="24"/>
          <w:szCs w:val="24"/>
        </w:rPr>
      </w:pPr>
      <w:r w:rsidRPr="002D0913">
        <w:rPr>
          <w:rFonts w:ascii="Aptos" w:hAnsi="Aptos"/>
          <w:sz w:val="24"/>
          <w:szCs w:val="24"/>
        </w:rPr>
        <w:t>MOVING IRA FUNDS</w:t>
      </w:r>
    </w:p>
    <w:p w14:paraId="1F0CE2BE" w14:textId="77777777" w:rsidR="00AB0AD5" w:rsidRPr="002D0913" w:rsidRDefault="00AB0AD5" w:rsidP="002D0913">
      <w:pPr>
        <w:rPr>
          <w:rFonts w:ascii="Aptos" w:hAnsi="Aptos"/>
          <w:sz w:val="24"/>
          <w:szCs w:val="24"/>
        </w:rPr>
      </w:pPr>
    </w:p>
    <w:p w14:paraId="004A4D48" w14:textId="03065CFE" w:rsidR="0072057B" w:rsidRPr="002D0913" w:rsidRDefault="00000000" w:rsidP="002D0913">
      <w:pPr>
        <w:rPr>
          <w:rFonts w:ascii="Aptos" w:hAnsi="Aptos"/>
          <w:sz w:val="24"/>
          <w:szCs w:val="24"/>
        </w:rPr>
      </w:pPr>
      <w:r w:rsidRPr="002D0913">
        <w:rPr>
          <w:rFonts w:ascii="Aptos" w:hAnsi="Aptos"/>
          <w:sz w:val="24"/>
          <w:szCs w:val="24"/>
        </w:rPr>
        <w:t>When it comes time to move your IRA from one provider to another, it’s nice to know</w:t>
      </w:r>
      <w:r w:rsidR="0056585F">
        <w:rPr>
          <w:rFonts w:ascii="Aptos" w:hAnsi="Aptos"/>
          <w:sz w:val="24"/>
          <w:szCs w:val="24"/>
        </w:rPr>
        <w:t xml:space="preserve"> </w:t>
      </w:r>
      <w:r w:rsidRPr="002D0913">
        <w:rPr>
          <w:rFonts w:ascii="Aptos" w:hAnsi="Aptos"/>
          <w:sz w:val="24"/>
          <w:szCs w:val="24"/>
        </w:rPr>
        <w:t>you have options. While the rollover option provides you with access to your IRA funds for up to 60 days, there are more restrictions and the process is typically more complicated (e.g., you must report the transaction on your tax return). The transfer option, on the other hand, is typically less cumbersome because your IRA funds are directly transferred from one IRA provider to another.</w:t>
      </w:r>
    </w:p>
    <w:p w14:paraId="004A4D49" w14:textId="77777777" w:rsidR="0072057B" w:rsidRPr="002D0913" w:rsidRDefault="0072057B" w:rsidP="002D0913">
      <w:pPr>
        <w:rPr>
          <w:rFonts w:ascii="Aptos" w:hAnsi="Aptos"/>
          <w:sz w:val="24"/>
          <w:szCs w:val="24"/>
        </w:rPr>
      </w:pPr>
    </w:p>
    <w:p w14:paraId="004A4D4A" w14:textId="77777777" w:rsidR="0072057B" w:rsidRDefault="00000000" w:rsidP="002D0913">
      <w:pPr>
        <w:rPr>
          <w:rFonts w:ascii="Aptos" w:hAnsi="Aptos"/>
          <w:sz w:val="24"/>
          <w:szCs w:val="24"/>
        </w:rPr>
      </w:pPr>
      <w:r w:rsidRPr="002D0913">
        <w:rPr>
          <w:rFonts w:ascii="Aptos" w:hAnsi="Aptos"/>
          <w:sz w:val="24"/>
          <w:szCs w:val="24"/>
        </w:rPr>
        <w:t>Fortunately, moving your IRA from one provider to another doesn’t have to be complicated or time consuming. When it comes time to move your IRA funds, just be sure to know your options so you can choose the method that makes the most sense for you based on your goals and objectives.</w:t>
      </w:r>
    </w:p>
    <w:p w14:paraId="7539B9CC" w14:textId="77777777" w:rsidR="002B2A64" w:rsidRDefault="002B2A64" w:rsidP="002D0913">
      <w:pPr>
        <w:rPr>
          <w:rFonts w:ascii="Aptos" w:hAnsi="Aptos"/>
          <w:sz w:val="24"/>
          <w:szCs w:val="24"/>
        </w:rPr>
      </w:pPr>
    </w:p>
    <w:p w14:paraId="1C75485E" w14:textId="77777777" w:rsidR="002B2A64" w:rsidRPr="002D0913" w:rsidRDefault="002B2A64" w:rsidP="002D0913">
      <w:pPr>
        <w:rPr>
          <w:rFonts w:ascii="Aptos" w:hAnsi="Aptos"/>
          <w:sz w:val="24"/>
          <w:szCs w:val="24"/>
        </w:rPr>
      </w:pPr>
    </w:p>
    <w:sectPr w:rsidR="002B2A64" w:rsidRPr="002D0913" w:rsidSect="0056585F">
      <w:type w:val="continuous"/>
      <w:pgSz w:w="12600" w:h="1620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Futura-CondensedMedium">
    <w:altName w:val="Century Gothic"/>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90FA8"/>
    <w:multiLevelType w:val="hybridMultilevel"/>
    <w:tmpl w:val="8194B208"/>
    <w:lvl w:ilvl="0" w:tplc="6A4EB3C2">
      <w:start w:val="1"/>
      <w:numFmt w:val="decimal"/>
      <w:lvlText w:val="%1."/>
      <w:lvlJc w:val="left"/>
      <w:pPr>
        <w:ind w:left="815" w:hanging="197"/>
        <w:jc w:val="left"/>
      </w:pPr>
      <w:rPr>
        <w:rFonts w:ascii="Tahoma" w:eastAsia="Tahoma" w:hAnsi="Tahoma" w:cs="Tahoma" w:hint="default"/>
        <w:b w:val="0"/>
        <w:bCs w:val="0"/>
        <w:i w:val="0"/>
        <w:iCs w:val="0"/>
        <w:color w:val="231F20"/>
        <w:spacing w:val="-21"/>
        <w:w w:val="68"/>
        <w:sz w:val="28"/>
        <w:szCs w:val="28"/>
        <w:lang w:val="en-US" w:eastAsia="en-US" w:bidi="ar-SA"/>
      </w:rPr>
    </w:lvl>
    <w:lvl w:ilvl="1" w:tplc="A78C4A48">
      <w:numFmt w:val="bullet"/>
      <w:lvlText w:val="•"/>
      <w:lvlJc w:val="left"/>
      <w:pPr>
        <w:ind w:left="1173" w:hanging="197"/>
      </w:pPr>
      <w:rPr>
        <w:rFonts w:hint="default"/>
        <w:lang w:val="en-US" w:eastAsia="en-US" w:bidi="ar-SA"/>
      </w:rPr>
    </w:lvl>
    <w:lvl w:ilvl="2" w:tplc="15F4918E">
      <w:numFmt w:val="bullet"/>
      <w:lvlText w:val="•"/>
      <w:lvlJc w:val="left"/>
      <w:pPr>
        <w:ind w:left="1527" w:hanging="197"/>
      </w:pPr>
      <w:rPr>
        <w:rFonts w:hint="default"/>
        <w:lang w:val="en-US" w:eastAsia="en-US" w:bidi="ar-SA"/>
      </w:rPr>
    </w:lvl>
    <w:lvl w:ilvl="3" w:tplc="65165190">
      <w:numFmt w:val="bullet"/>
      <w:lvlText w:val="•"/>
      <w:lvlJc w:val="left"/>
      <w:pPr>
        <w:ind w:left="1880" w:hanging="197"/>
      </w:pPr>
      <w:rPr>
        <w:rFonts w:hint="default"/>
        <w:lang w:val="en-US" w:eastAsia="en-US" w:bidi="ar-SA"/>
      </w:rPr>
    </w:lvl>
    <w:lvl w:ilvl="4" w:tplc="799261E6">
      <w:numFmt w:val="bullet"/>
      <w:lvlText w:val="•"/>
      <w:lvlJc w:val="left"/>
      <w:pPr>
        <w:ind w:left="2234" w:hanging="197"/>
      </w:pPr>
      <w:rPr>
        <w:rFonts w:hint="default"/>
        <w:lang w:val="en-US" w:eastAsia="en-US" w:bidi="ar-SA"/>
      </w:rPr>
    </w:lvl>
    <w:lvl w:ilvl="5" w:tplc="0D969F68">
      <w:numFmt w:val="bullet"/>
      <w:lvlText w:val="•"/>
      <w:lvlJc w:val="left"/>
      <w:pPr>
        <w:ind w:left="2588" w:hanging="197"/>
      </w:pPr>
      <w:rPr>
        <w:rFonts w:hint="default"/>
        <w:lang w:val="en-US" w:eastAsia="en-US" w:bidi="ar-SA"/>
      </w:rPr>
    </w:lvl>
    <w:lvl w:ilvl="6" w:tplc="C6AA16DC">
      <w:numFmt w:val="bullet"/>
      <w:lvlText w:val="•"/>
      <w:lvlJc w:val="left"/>
      <w:pPr>
        <w:ind w:left="2941" w:hanging="197"/>
      </w:pPr>
      <w:rPr>
        <w:rFonts w:hint="default"/>
        <w:lang w:val="en-US" w:eastAsia="en-US" w:bidi="ar-SA"/>
      </w:rPr>
    </w:lvl>
    <w:lvl w:ilvl="7" w:tplc="41D60DA2">
      <w:numFmt w:val="bullet"/>
      <w:lvlText w:val="•"/>
      <w:lvlJc w:val="left"/>
      <w:pPr>
        <w:ind w:left="3295" w:hanging="197"/>
      </w:pPr>
      <w:rPr>
        <w:rFonts w:hint="default"/>
        <w:lang w:val="en-US" w:eastAsia="en-US" w:bidi="ar-SA"/>
      </w:rPr>
    </w:lvl>
    <w:lvl w:ilvl="8" w:tplc="59BAA516">
      <w:numFmt w:val="bullet"/>
      <w:lvlText w:val="•"/>
      <w:lvlJc w:val="left"/>
      <w:pPr>
        <w:ind w:left="3648" w:hanging="197"/>
      </w:pPr>
      <w:rPr>
        <w:rFonts w:hint="default"/>
        <w:lang w:val="en-US" w:eastAsia="en-US" w:bidi="ar-SA"/>
      </w:rPr>
    </w:lvl>
  </w:abstractNum>
  <w:num w:numId="1" w16cid:durableId="1434013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2057B"/>
    <w:rsid w:val="00040631"/>
    <w:rsid w:val="00072FA0"/>
    <w:rsid w:val="00156DF6"/>
    <w:rsid w:val="00217394"/>
    <w:rsid w:val="002579D9"/>
    <w:rsid w:val="002B2A64"/>
    <w:rsid w:val="002D0913"/>
    <w:rsid w:val="00423A9F"/>
    <w:rsid w:val="0049127D"/>
    <w:rsid w:val="00491AC8"/>
    <w:rsid w:val="004F6471"/>
    <w:rsid w:val="0056585F"/>
    <w:rsid w:val="0072057B"/>
    <w:rsid w:val="00786D4E"/>
    <w:rsid w:val="007C1804"/>
    <w:rsid w:val="007D22C2"/>
    <w:rsid w:val="00885C60"/>
    <w:rsid w:val="009C61C5"/>
    <w:rsid w:val="00A33292"/>
    <w:rsid w:val="00A34345"/>
    <w:rsid w:val="00AB0AD5"/>
    <w:rsid w:val="00C250B0"/>
    <w:rsid w:val="00CB5D04"/>
    <w:rsid w:val="00D27331"/>
    <w:rsid w:val="00EA2A30"/>
    <w:rsid w:val="00F3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4D0A"/>
  <w15:docId w15:val="{83629590-2049-48D0-8904-36BCF98B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rFonts w:ascii="Tahoma" w:eastAsia="Tahoma" w:hAnsi="Tahoma" w:cs="Tahoma"/>
      <w:sz w:val="40"/>
      <w:szCs w:val="40"/>
    </w:rPr>
  </w:style>
  <w:style w:type="paragraph" w:styleId="Heading2">
    <w:name w:val="heading 2"/>
    <w:basedOn w:val="Normal"/>
    <w:uiPriority w:val="9"/>
    <w:unhideWhenUsed/>
    <w:qFormat/>
    <w:pPr>
      <w:spacing w:before="68"/>
      <w:ind w:left="828" w:hanging="210"/>
      <w:outlineLvl w:val="1"/>
    </w:pPr>
    <w:rPr>
      <w:rFonts w:ascii="Tahoma" w:eastAsia="Tahoma" w:hAnsi="Tahoma" w:cs="Tahoma"/>
      <w:sz w:val="28"/>
      <w:szCs w:val="28"/>
    </w:rPr>
  </w:style>
  <w:style w:type="paragraph" w:styleId="Heading3">
    <w:name w:val="heading 3"/>
    <w:basedOn w:val="Normal"/>
    <w:uiPriority w:val="9"/>
    <w:unhideWhenUsed/>
    <w:qFormat/>
    <w:pPr>
      <w:outlineLvl w:val="2"/>
    </w:pPr>
    <w:rPr>
      <w:rFonts w:ascii="Gill Sans MT" w:eastAsia="Gill Sans MT" w:hAnsi="Gill Sans MT" w:cs="Gill Sans M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68"/>
      <w:ind w:left="1621" w:right="649"/>
      <w:jc w:val="center"/>
    </w:pPr>
    <w:rPr>
      <w:rFonts w:ascii="Tahoma" w:eastAsia="Tahoma" w:hAnsi="Tahoma" w:cs="Tahoma"/>
      <w:sz w:val="64"/>
      <w:szCs w:val="64"/>
    </w:rPr>
  </w:style>
  <w:style w:type="paragraph" w:styleId="ListParagraph">
    <w:name w:val="List Paragraph"/>
    <w:basedOn w:val="Normal"/>
    <w:uiPriority w:val="1"/>
    <w:qFormat/>
    <w:pPr>
      <w:spacing w:before="68"/>
      <w:ind w:left="828" w:hanging="210"/>
    </w:pPr>
    <w:rPr>
      <w:rFonts w:ascii="Tahoma" w:eastAsia="Tahoma" w:hAnsi="Tahoma" w:cs="Tahoma"/>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Loni Porta</cp:lastModifiedBy>
  <cp:revision>25</cp:revision>
  <dcterms:created xsi:type="dcterms:W3CDTF">2024-07-08T17:45:00Z</dcterms:created>
  <dcterms:modified xsi:type="dcterms:W3CDTF">2024-07-08T18:07:00Z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Creator">
    <vt:lpwstr>Adobe InDesign CC 2017 (Macintosh)</vt:lpwstr>
  </property>
  <property fmtid="{D5CDD505-2E9C-101B-9397-08002B2CF9AE}" pid="4" name="LastSaved">
    <vt:filetime>2024-07-08T00:00:00Z</vt:filetime>
  </property>
  <property fmtid="{D5CDD505-2E9C-101B-9397-08002B2CF9AE}" pid="5" name="Producer">
    <vt:lpwstr>Adobe PDF Library 15.0</vt:lpwstr>
  </property>
</Properties>
</file>