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F8203F" w14:textId="77777777" w:rsidR="007F7B68" w:rsidRPr="00386653" w:rsidRDefault="00386653" w:rsidP="00922681">
      <w:pPr>
        <w:rPr>
          <w:rFonts w:ascii="Aptos" w:hAnsi="Aptos"/>
          <w:b/>
          <w:bCs/>
          <w:sz w:val="28"/>
          <w:szCs w:val="28"/>
        </w:rPr>
      </w:pPr>
      <w:proofErr w:type="gramStart"/>
      <w:r w:rsidRPr="00386653">
        <w:rPr>
          <w:rFonts w:ascii="Aptos" w:hAnsi="Aptos"/>
          <w:b/>
          <w:bCs/>
          <w:sz w:val="28"/>
          <w:szCs w:val="28"/>
        </w:rPr>
        <w:t>SO</w:t>
      </w:r>
      <w:proofErr w:type="gramEnd"/>
      <w:r w:rsidRPr="00386653">
        <w:rPr>
          <w:rFonts w:ascii="Aptos" w:hAnsi="Aptos"/>
          <w:b/>
          <w:bCs/>
          <w:sz w:val="28"/>
          <w:szCs w:val="28"/>
        </w:rPr>
        <w:t xml:space="preserve"> YOU’VE INHERITED AN IRA</w:t>
      </w:r>
    </w:p>
    <w:p w14:paraId="2D5D883F" w14:textId="77777777" w:rsidR="00922681" w:rsidRPr="00386653" w:rsidRDefault="00922681" w:rsidP="00922681">
      <w:pPr>
        <w:rPr>
          <w:rFonts w:ascii="Aptos" w:hAnsi="Aptos"/>
          <w:sz w:val="24"/>
          <w:szCs w:val="24"/>
        </w:rPr>
      </w:pPr>
    </w:p>
    <w:p w14:paraId="29F8204B" w14:textId="3D3174E0" w:rsidR="007F7B68" w:rsidRPr="00386653" w:rsidRDefault="00386653" w:rsidP="00922681">
      <w:pPr>
        <w:rPr>
          <w:rFonts w:ascii="Aptos" w:hAnsi="Aptos"/>
          <w:sz w:val="24"/>
          <w:szCs w:val="24"/>
        </w:rPr>
      </w:pPr>
      <w:r w:rsidRPr="00386653">
        <w:rPr>
          <w:rFonts w:ascii="Aptos" w:hAnsi="Aptos"/>
          <w:sz w:val="24"/>
          <w:szCs w:val="24"/>
        </w:rPr>
        <w:t>NOW WHAT?</w:t>
      </w:r>
    </w:p>
    <w:p w14:paraId="0DC4C46B" w14:textId="77777777" w:rsidR="0093784E" w:rsidRPr="00386653" w:rsidRDefault="0093784E" w:rsidP="00922681">
      <w:pPr>
        <w:rPr>
          <w:rFonts w:ascii="Aptos" w:hAnsi="Aptos"/>
          <w:sz w:val="24"/>
          <w:szCs w:val="24"/>
        </w:rPr>
      </w:pPr>
    </w:p>
    <w:p w14:paraId="29F8204C" w14:textId="25E2EDAD" w:rsidR="007F7B68" w:rsidRPr="00386653" w:rsidRDefault="00386653" w:rsidP="00922681">
      <w:pPr>
        <w:rPr>
          <w:rFonts w:ascii="Aptos" w:hAnsi="Aptos"/>
          <w:sz w:val="24"/>
          <w:szCs w:val="24"/>
        </w:rPr>
      </w:pPr>
      <w:r w:rsidRPr="00386653">
        <w:rPr>
          <w:rFonts w:ascii="Aptos" w:hAnsi="Aptos"/>
          <w:sz w:val="24"/>
          <w:szCs w:val="24"/>
        </w:rPr>
        <w:t>Tax-advantaged savings options, such as IRAs, represent a “cost” to the federal government (in the form of delayed/foregone tax revenues). Because of this, the laws governing IRAs are designed to promote the use of IRA savings during the IRA owner’s lifetime, and to minimize the ability for taxpayers to use IRAs as a vehicle for long-term, multi-generational wealth transfer.</w:t>
      </w:r>
    </w:p>
    <w:p w14:paraId="62F4E7D3" w14:textId="77777777" w:rsidR="009C0017" w:rsidRPr="00386653" w:rsidRDefault="009C0017" w:rsidP="00922681">
      <w:pPr>
        <w:rPr>
          <w:rFonts w:ascii="Aptos" w:hAnsi="Aptos"/>
          <w:sz w:val="24"/>
          <w:szCs w:val="24"/>
        </w:rPr>
      </w:pPr>
    </w:p>
    <w:p w14:paraId="29F8204D" w14:textId="77777777" w:rsidR="007F7B68" w:rsidRPr="00386653" w:rsidRDefault="00386653" w:rsidP="00922681">
      <w:pPr>
        <w:rPr>
          <w:rFonts w:ascii="Aptos" w:hAnsi="Aptos"/>
          <w:sz w:val="24"/>
          <w:szCs w:val="24"/>
        </w:rPr>
      </w:pPr>
      <w:r w:rsidRPr="00386653">
        <w:rPr>
          <w:rFonts w:ascii="Aptos" w:hAnsi="Aptos"/>
          <w:sz w:val="24"/>
          <w:szCs w:val="24"/>
        </w:rPr>
        <w:t>Fortunately, however, there are still options available to tax-savvy beneficiaries looking to maximize the tax benefits of their IRA inheritance.</w:t>
      </w:r>
    </w:p>
    <w:p w14:paraId="691F14D7" w14:textId="77777777" w:rsidR="009C0017" w:rsidRPr="00386653" w:rsidRDefault="009C0017" w:rsidP="00922681">
      <w:pPr>
        <w:rPr>
          <w:rFonts w:ascii="Aptos" w:hAnsi="Aptos"/>
          <w:sz w:val="24"/>
          <w:szCs w:val="24"/>
        </w:rPr>
      </w:pPr>
    </w:p>
    <w:p w14:paraId="29F8204E" w14:textId="6F8F5790" w:rsidR="007F7B68" w:rsidRPr="00386653" w:rsidRDefault="00386653" w:rsidP="00922681">
      <w:pPr>
        <w:rPr>
          <w:rFonts w:ascii="Aptos" w:hAnsi="Aptos"/>
          <w:sz w:val="24"/>
          <w:szCs w:val="24"/>
        </w:rPr>
      </w:pPr>
      <w:r w:rsidRPr="00386653">
        <w:rPr>
          <w:rFonts w:ascii="Aptos" w:hAnsi="Aptos"/>
          <w:sz w:val="24"/>
          <w:szCs w:val="24"/>
        </w:rPr>
        <w:t>KNOW YOUR OPTIONS— MAXIMIZE THE BENEFITS OF YOUR INHERITANCE</w:t>
      </w:r>
    </w:p>
    <w:p w14:paraId="12F8EE50" w14:textId="77777777" w:rsidR="009C0017" w:rsidRPr="00386653" w:rsidRDefault="009C0017" w:rsidP="00922681">
      <w:pPr>
        <w:rPr>
          <w:rFonts w:ascii="Aptos" w:hAnsi="Aptos"/>
          <w:sz w:val="24"/>
          <w:szCs w:val="24"/>
        </w:rPr>
      </w:pPr>
    </w:p>
    <w:p w14:paraId="475C1A44" w14:textId="4A2C58CE" w:rsidR="009C0017" w:rsidRPr="00386653" w:rsidRDefault="00386653" w:rsidP="00922681">
      <w:pPr>
        <w:rPr>
          <w:rFonts w:ascii="Aptos" w:hAnsi="Aptos"/>
          <w:sz w:val="24"/>
          <w:szCs w:val="24"/>
        </w:rPr>
      </w:pPr>
      <w:r w:rsidRPr="00386653">
        <w:rPr>
          <w:rFonts w:ascii="Aptos" w:hAnsi="Aptos"/>
          <w:sz w:val="24"/>
          <w:szCs w:val="24"/>
        </w:rPr>
        <w:t>While it’s impossible to cover all the details associated with beneficiary IRA withdrawal</w:t>
      </w:r>
      <w:r w:rsidR="00884624" w:rsidRPr="00386653">
        <w:rPr>
          <w:rFonts w:ascii="Aptos" w:hAnsi="Aptos"/>
          <w:sz w:val="24"/>
          <w:szCs w:val="24"/>
        </w:rPr>
        <w:t xml:space="preserve"> </w:t>
      </w:r>
      <w:r w:rsidRPr="00386653">
        <w:rPr>
          <w:rFonts w:ascii="Aptos" w:hAnsi="Aptos"/>
          <w:sz w:val="24"/>
          <w:szCs w:val="24"/>
        </w:rPr>
        <w:t>options in a few short paragraphs, the key message is that it’s almost always best to “look before you leap.” By first identifying the options available to you as an IRA beneficiary, you’re much more likely to make a well-informed decision that meets your personal objectives while also maximizing the available tax-shelter benefits of your IRA inheritance.</w:t>
      </w:r>
    </w:p>
    <w:p w14:paraId="4B3C69A2" w14:textId="77777777" w:rsidR="009C0017" w:rsidRPr="00386653" w:rsidRDefault="009C0017" w:rsidP="00922681">
      <w:pPr>
        <w:rPr>
          <w:rFonts w:ascii="Aptos" w:hAnsi="Aptos"/>
          <w:sz w:val="24"/>
          <w:szCs w:val="24"/>
        </w:rPr>
      </w:pPr>
    </w:p>
    <w:p w14:paraId="29F82052" w14:textId="67AD41CB" w:rsidR="007F7B68" w:rsidRPr="00386653" w:rsidRDefault="00386653" w:rsidP="00922681">
      <w:pPr>
        <w:rPr>
          <w:rFonts w:ascii="Aptos" w:hAnsi="Aptos"/>
          <w:sz w:val="24"/>
          <w:szCs w:val="24"/>
        </w:rPr>
      </w:pPr>
      <w:r w:rsidRPr="00386653">
        <w:rPr>
          <w:rFonts w:ascii="Aptos" w:hAnsi="Aptos"/>
          <w:sz w:val="24"/>
          <w:szCs w:val="24"/>
        </w:rPr>
        <w:t>OPTIONS FOR SPOUSE BENEFICIARIES</w:t>
      </w:r>
    </w:p>
    <w:p w14:paraId="37156F88" w14:textId="77777777" w:rsidR="009C0017" w:rsidRPr="00386653" w:rsidRDefault="009C0017" w:rsidP="00922681">
      <w:pPr>
        <w:rPr>
          <w:rFonts w:ascii="Aptos" w:hAnsi="Aptos"/>
          <w:sz w:val="24"/>
          <w:szCs w:val="24"/>
        </w:rPr>
      </w:pPr>
    </w:p>
    <w:p w14:paraId="29F82053" w14:textId="77777777" w:rsidR="007F7B68" w:rsidRPr="00386653" w:rsidRDefault="00386653" w:rsidP="00922681">
      <w:pPr>
        <w:rPr>
          <w:rFonts w:ascii="Aptos" w:hAnsi="Aptos"/>
          <w:sz w:val="24"/>
          <w:szCs w:val="24"/>
        </w:rPr>
      </w:pPr>
      <w:r w:rsidRPr="00386653">
        <w:rPr>
          <w:rFonts w:ascii="Aptos" w:hAnsi="Aptos"/>
          <w:sz w:val="24"/>
          <w:szCs w:val="24"/>
        </w:rPr>
        <w:t>As the spouse beneficiary of a deceased IRA owner, you have considerable flexibility. While your options will vary depending on the type of IRA, the age of your spouse at the time of death, and the presence (or not) of other named beneficiaries, your options as a spouse beneficiary fall into two broad categories—you can choose to either treat the IRA as your own or take beneficiary withdrawals from the IRA.</w:t>
      </w:r>
    </w:p>
    <w:p w14:paraId="29F82054" w14:textId="77777777" w:rsidR="007F7B68" w:rsidRPr="00386653" w:rsidRDefault="007F7B68" w:rsidP="00922681">
      <w:pPr>
        <w:rPr>
          <w:rFonts w:ascii="Aptos" w:hAnsi="Aptos"/>
          <w:sz w:val="24"/>
          <w:szCs w:val="24"/>
        </w:rPr>
      </w:pPr>
    </w:p>
    <w:p w14:paraId="29F82056" w14:textId="464DC08C" w:rsidR="007F7B68" w:rsidRPr="00386653" w:rsidRDefault="00386653" w:rsidP="00922681">
      <w:pPr>
        <w:rPr>
          <w:rFonts w:ascii="Aptos" w:hAnsi="Aptos"/>
          <w:sz w:val="24"/>
          <w:szCs w:val="24"/>
        </w:rPr>
      </w:pPr>
      <w:r w:rsidRPr="00386653">
        <w:rPr>
          <w:rFonts w:ascii="Aptos" w:hAnsi="Aptos"/>
          <w:sz w:val="24"/>
          <w:szCs w:val="24"/>
        </w:rPr>
        <w:t>OPTION #1: TREAT THE IRA AS YOUR OWN</w:t>
      </w:r>
    </w:p>
    <w:p w14:paraId="24F78248" w14:textId="77777777" w:rsidR="009C0017" w:rsidRPr="00386653" w:rsidRDefault="009C0017" w:rsidP="00922681">
      <w:pPr>
        <w:rPr>
          <w:rFonts w:ascii="Aptos" w:hAnsi="Aptos"/>
          <w:sz w:val="24"/>
          <w:szCs w:val="24"/>
        </w:rPr>
      </w:pPr>
    </w:p>
    <w:p w14:paraId="29F82058" w14:textId="30B05E43" w:rsidR="007F7B68" w:rsidRPr="00386653" w:rsidRDefault="00386653" w:rsidP="00922681">
      <w:pPr>
        <w:rPr>
          <w:rFonts w:ascii="Aptos" w:hAnsi="Aptos"/>
          <w:sz w:val="24"/>
          <w:szCs w:val="24"/>
        </w:rPr>
      </w:pPr>
      <w:r w:rsidRPr="00386653">
        <w:rPr>
          <w:rFonts w:ascii="Aptos" w:hAnsi="Aptos"/>
          <w:sz w:val="24"/>
          <w:szCs w:val="24"/>
        </w:rPr>
        <w:t>As a spouse beneficiary, you have a unique option available to you that is not available to other IRA beneficiaries. Spouse</w:t>
      </w:r>
      <w:r w:rsidR="00884624" w:rsidRPr="00386653">
        <w:rPr>
          <w:rFonts w:ascii="Aptos" w:hAnsi="Aptos"/>
          <w:sz w:val="24"/>
          <w:szCs w:val="24"/>
        </w:rPr>
        <w:t xml:space="preserve"> </w:t>
      </w:r>
      <w:r w:rsidRPr="00386653">
        <w:rPr>
          <w:rFonts w:ascii="Aptos" w:hAnsi="Aptos"/>
          <w:sz w:val="24"/>
          <w:szCs w:val="24"/>
        </w:rPr>
        <w:t>beneficiaries are typically eligible to move funds from an Inherited IRA into an IRA established in their own name. If you have an existing IRA of the same type as the Inherited IRA, you can generally request to have the Inherited IRA funds transferred or rolled over directly into your existing IRA. On the other hand, if you do not currently have your own IRA, you can establish an IRA in your own name and request that the Inherited IRA funds be transferred or rolled over into your new IRA.</w:t>
      </w:r>
    </w:p>
    <w:p w14:paraId="6827A9E4" w14:textId="77777777" w:rsidR="009C0017" w:rsidRPr="00386653" w:rsidRDefault="009C0017" w:rsidP="00922681">
      <w:pPr>
        <w:rPr>
          <w:rFonts w:ascii="Aptos" w:hAnsi="Aptos"/>
          <w:sz w:val="24"/>
          <w:szCs w:val="24"/>
        </w:rPr>
      </w:pPr>
    </w:p>
    <w:p w14:paraId="29F82059" w14:textId="58058E0F" w:rsidR="007F7B68" w:rsidRDefault="00386653" w:rsidP="00922681">
      <w:pPr>
        <w:rPr>
          <w:rFonts w:ascii="Aptos" w:hAnsi="Aptos"/>
          <w:sz w:val="24"/>
          <w:szCs w:val="24"/>
        </w:rPr>
      </w:pPr>
      <w:r w:rsidRPr="00386653">
        <w:rPr>
          <w:rFonts w:ascii="Aptos" w:hAnsi="Aptos"/>
          <w:sz w:val="24"/>
          <w:szCs w:val="24"/>
        </w:rPr>
        <w:t>OPTION #2: TAKE BENEFICIARY WITHDRAWALS FROM THE INHERITED IRA</w:t>
      </w:r>
    </w:p>
    <w:p w14:paraId="3EC64084" w14:textId="77777777" w:rsidR="004840BD" w:rsidRPr="00386653" w:rsidRDefault="004840BD" w:rsidP="00922681">
      <w:pPr>
        <w:rPr>
          <w:rFonts w:ascii="Aptos" w:hAnsi="Aptos"/>
          <w:sz w:val="24"/>
          <w:szCs w:val="24"/>
        </w:rPr>
      </w:pPr>
    </w:p>
    <w:p w14:paraId="29F8205C" w14:textId="72B23D9E" w:rsidR="007F7B68" w:rsidRPr="00386653" w:rsidRDefault="00386653" w:rsidP="00922681">
      <w:pPr>
        <w:rPr>
          <w:rFonts w:ascii="Aptos" w:hAnsi="Aptos"/>
          <w:sz w:val="24"/>
          <w:szCs w:val="24"/>
        </w:rPr>
      </w:pPr>
      <w:r w:rsidRPr="00386653">
        <w:rPr>
          <w:rFonts w:ascii="Aptos" w:hAnsi="Aptos"/>
          <w:sz w:val="24"/>
          <w:szCs w:val="24"/>
        </w:rPr>
        <w:t>Another option for you as a spouse beneficiary is to maintain your status as a beneficiary and take beneficiary</w:t>
      </w:r>
      <w:r w:rsidR="00884624" w:rsidRPr="00386653">
        <w:rPr>
          <w:rFonts w:ascii="Aptos" w:hAnsi="Aptos"/>
          <w:sz w:val="24"/>
          <w:szCs w:val="24"/>
        </w:rPr>
        <w:t xml:space="preserve"> </w:t>
      </w:r>
      <w:r w:rsidRPr="00386653">
        <w:rPr>
          <w:rFonts w:ascii="Aptos" w:hAnsi="Aptos"/>
          <w:sz w:val="24"/>
          <w:szCs w:val="24"/>
        </w:rPr>
        <w:t xml:space="preserve">distributions from the Inherited IRA. Due to the beneficiary withdrawal rules, this option oftentimes will result in you drawing down the IRA balance more quickly </w:t>
      </w:r>
      <w:r w:rsidRPr="00386653">
        <w:rPr>
          <w:rFonts w:ascii="Aptos" w:hAnsi="Aptos"/>
          <w:sz w:val="24"/>
          <w:szCs w:val="24"/>
        </w:rPr>
        <w:lastRenderedPageBreak/>
        <w:t>than if you moved the funds into your own</w:t>
      </w:r>
      <w:r w:rsidR="00884624" w:rsidRPr="00386653">
        <w:rPr>
          <w:rFonts w:ascii="Aptos" w:hAnsi="Aptos"/>
          <w:sz w:val="24"/>
          <w:szCs w:val="24"/>
        </w:rPr>
        <w:t xml:space="preserve"> </w:t>
      </w:r>
      <w:r w:rsidRPr="00386653">
        <w:rPr>
          <w:rFonts w:ascii="Aptos" w:hAnsi="Aptos"/>
          <w:sz w:val="24"/>
          <w:szCs w:val="24"/>
        </w:rPr>
        <w:t xml:space="preserve">IRA. On the other hand, this option can be potentially advantageous if you are </w:t>
      </w:r>
      <w:proofErr w:type="gramStart"/>
      <w:r w:rsidRPr="00386653">
        <w:rPr>
          <w:rFonts w:ascii="Aptos" w:hAnsi="Aptos"/>
          <w:sz w:val="24"/>
          <w:szCs w:val="24"/>
        </w:rPr>
        <w:t>under age</w:t>
      </w:r>
      <w:proofErr w:type="gramEnd"/>
      <w:r w:rsidRPr="00386653">
        <w:rPr>
          <w:rFonts w:ascii="Aptos" w:hAnsi="Aptos"/>
          <w:sz w:val="24"/>
          <w:szCs w:val="24"/>
        </w:rPr>
        <w:t xml:space="preserve"> 59½ and wish to withdraw funds prior to reaching age 59½ since beneficiary distributions from an inherited IRA are exempt from the IRS 10% early distribution penalty.</w:t>
      </w:r>
    </w:p>
    <w:p w14:paraId="777FDEE4" w14:textId="77777777" w:rsidR="009C0017" w:rsidRPr="00386653" w:rsidRDefault="009C0017" w:rsidP="00922681">
      <w:pPr>
        <w:rPr>
          <w:rFonts w:ascii="Aptos" w:hAnsi="Aptos"/>
          <w:sz w:val="24"/>
          <w:szCs w:val="24"/>
        </w:rPr>
      </w:pPr>
    </w:p>
    <w:p w14:paraId="29F8205E" w14:textId="3B9405EC" w:rsidR="007F7B68" w:rsidRPr="00386653" w:rsidRDefault="00386653" w:rsidP="00922681">
      <w:pPr>
        <w:rPr>
          <w:rFonts w:ascii="Aptos" w:hAnsi="Aptos"/>
          <w:sz w:val="24"/>
          <w:szCs w:val="24"/>
        </w:rPr>
      </w:pPr>
      <w:r w:rsidRPr="00386653">
        <w:rPr>
          <w:rFonts w:ascii="Aptos" w:hAnsi="Aptos"/>
          <w:sz w:val="24"/>
          <w:szCs w:val="24"/>
        </w:rPr>
        <w:t>OPTIONS FOR NONSPOUSE BENEFICIARIES</w:t>
      </w:r>
    </w:p>
    <w:p w14:paraId="5760E73D" w14:textId="77777777" w:rsidR="009C0017" w:rsidRPr="00386653" w:rsidRDefault="009C0017" w:rsidP="00922681">
      <w:pPr>
        <w:rPr>
          <w:rFonts w:ascii="Aptos" w:hAnsi="Aptos"/>
          <w:sz w:val="24"/>
          <w:szCs w:val="24"/>
        </w:rPr>
      </w:pPr>
    </w:p>
    <w:p w14:paraId="29F8205F" w14:textId="7F96CDC4" w:rsidR="007F7B68" w:rsidRPr="00386653" w:rsidRDefault="00386653" w:rsidP="00922681">
      <w:pPr>
        <w:rPr>
          <w:rFonts w:ascii="Aptos" w:hAnsi="Aptos"/>
          <w:sz w:val="24"/>
          <w:szCs w:val="24"/>
        </w:rPr>
      </w:pPr>
      <w:r w:rsidRPr="00386653">
        <w:rPr>
          <w:rFonts w:ascii="Aptos" w:hAnsi="Aptos"/>
          <w:sz w:val="24"/>
          <w:szCs w:val="24"/>
        </w:rPr>
        <w:t>While spouse beneficiaries generally have the option to treat inherited IRAs as their own, this option is not available to nonspouse beneficiaries. Nonetheless, as a nonspouse beneficiary, you typically have options to extend the tax shelter benefits of an inherited IRA. By avoiding an immediate lump sum distribution, you have the potential to significantly increase the value of your tax-sheltered IRA inheritance. Your options will vary depending on the circumstances (e.g., the type of IRA and the age of the IRA owner at the time of death) and depending on whether you qualify as an “Eligible Designated Beneficiary.”</w:t>
      </w:r>
    </w:p>
    <w:p w14:paraId="1634A722" w14:textId="77777777" w:rsidR="009C0017" w:rsidRPr="00386653" w:rsidRDefault="009C0017" w:rsidP="00922681">
      <w:pPr>
        <w:rPr>
          <w:rFonts w:ascii="Aptos" w:hAnsi="Aptos"/>
          <w:sz w:val="24"/>
          <w:szCs w:val="24"/>
        </w:rPr>
      </w:pPr>
    </w:p>
    <w:p w14:paraId="29F82062" w14:textId="1C0E90AB" w:rsidR="007F7B68" w:rsidRPr="00386653" w:rsidRDefault="00386653" w:rsidP="00922681">
      <w:pPr>
        <w:rPr>
          <w:rFonts w:ascii="Aptos" w:hAnsi="Aptos"/>
          <w:sz w:val="24"/>
          <w:szCs w:val="24"/>
        </w:rPr>
      </w:pPr>
      <w:r w:rsidRPr="00386653">
        <w:rPr>
          <w:rFonts w:ascii="Aptos" w:hAnsi="Aptos"/>
          <w:sz w:val="24"/>
          <w:szCs w:val="24"/>
        </w:rPr>
        <w:t>SCENARIO #1: YOU QUALIFY AS AN ELIGIBLE DESIGNATED BENEFICIARY</w:t>
      </w:r>
    </w:p>
    <w:p w14:paraId="7CE5EEFE" w14:textId="77777777" w:rsidR="009C0017" w:rsidRPr="00386653" w:rsidRDefault="009C0017" w:rsidP="00922681">
      <w:pPr>
        <w:rPr>
          <w:rFonts w:ascii="Aptos" w:hAnsi="Aptos"/>
          <w:sz w:val="24"/>
          <w:szCs w:val="24"/>
        </w:rPr>
      </w:pPr>
    </w:p>
    <w:p w14:paraId="6C91F72D" w14:textId="77777777" w:rsidR="0008039D" w:rsidRPr="00386653" w:rsidRDefault="00386653" w:rsidP="00922681">
      <w:pPr>
        <w:rPr>
          <w:rFonts w:ascii="Aptos" w:hAnsi="Aptos"/>
          <w:sz w:val="24"/>
          <w:szCs w:val="24"/>
        </w:rPr>
      </w:pPr>
      <w:r w:rsidRPr="00386653">
        <w:rPr>
          <w:rFonts w:ascii="Aptos" w:hAnsi="Aptos"/>
          <w:sz w:val="24"/>
          <w:szCs w:val="24"/>
        </w:rPr>
        <w:t>As a nonspouse beneficiary, to qualify as an “Eligible Designated Beneficiary” you must be</w:t>
      </w:r>
      <w:r w:rsidR="0093784E" w:rsidRPr="00386653">
        <w:rPr>
          <w:rFonts w:ascii="Aptos" w:hAnsi="Aptos"/>
          <w:sz w:val="24"/>
          <w:szCs w:val="24"/>
        </w:rPr>
        <w:t xml:space="preserve"> </w:t>
      </w:r>
    </w:p>
    <w:p w14:paraId="29F82064" w14:textId="45AF2E59" w:rsidR="007F7B68" w:rsidRPr="00386653" w:rsidRDefault="00386653" w:rsidP="0008039D">
      <w:pPr>
        <w:pStyle w:val="ListParagraph"/>
        <w:numPr>
          <w:ilvl w:val="0"/>
          <w:numId w:val="2"/>
        </w:numPr>
        <w:rPr>
          <w:rFonts w:ascii="Aptos" w:hAnsi="Aptos"/>
          <w:sz w:val="24"/>
          <w:szCs w:val="24"/>
        </w:rPr>
      </w:pPr>
      <w:r w:rsidRPr="00386653">
        <w:rPr>
          <w:rFonts w:ascii="Aptos" w:hAnsi="Aptos"/>
          <w:sz w:val="24"/>
          <w:szCs w:val="24"/>
        </w:rPr>
        <w:t>a minor child (under age 21) of the deceased IRA owner,</w:t>
      </w:r>
    </w:p>
    <w:p w14:paraId="29F82065" w14:textId="77777777" w:rsidR="007F7B68" w:rsidRPr="00386653" w:rsidRDefault="00386653" w:rsidP="0008039D">
      <w:pPr>
        <w:pStyle w:val="ListParagraph"/>
        <w:numPr>
          <w:ilvl w:val="0"/>
          <w:numId w:val="2"/>
        </w:numPr>
        <w:rPr>
          <w:rFonts w:ascii="Aptos" w:hAnsi="Aptos"/>
          <w:sz w:val="24"/>
          <w:szCs w:val="24"/>
        </w:rPr>
      </w:pPr>
      <w:r w:rsidRPr="00386653">
        <w:rPr>
          <w:rFonts w:ascii="Aptos" w:hAnsi="Aptos"/>
          <w:sz w:val="24"/>
          <w:szCs w:val="24"/>
        </w:rPr>
        <w:t>disabled,</w:t>
      </w:r>
    </w:p>
    <w:p w14:paraId="29F82066" w14:textId="77777777" w:rsidR="007F7B68" w:rsidRPr="00386653" w:rsidRDefault="00386653" w:rsidP="0008039D">
      <w:pPr>
        <w:pStyle w:val="ListParagraph"/>
        <w:numPr>
          <w:ilvl w:val="0"/>
          <w:numId w:val="2"/>
        </w:numPr>
        <w:rPr>
          <w:rFonts w:ascii="Aptos" w:hAnsi="Aptos"/>
          <w:sz w:val="24"/>
          <w:szCs w:val="24"/>
        </w:rPr>
      </w:pPr>
      <w:r w:rsidRPr="00386653">
        <w:rPr>
          <w:rFonts w:ascii="Aptos" w:hAnsi="Aptos"/>
          <w:sz w:val="24"/>
          <w:szCs w:val="24"/>
        </w:rPr>
        <w:t>chronically ill, or</w:t>
      </w:r>
    </w:p>
    <w:p w14:paraId="29F82067" w14:textId="77777777" w:rsidR="007F7B68" w:rsidRPr="00386653" w:rsidRDefault="00386653" w:rsidP="0008039D">
      <w:pPr>
        <w:pStyle w:val="ListParagraph"/>
        <w:numPr>
          <w:ilvl w:val="0"/>
          <w:numId w:val="2"/>
        </w:numPr>
        <w:rPr>
          <w:rFonts w:ascii="Aptos" w:hAnsi="Aptos"/>
          <w:sz w:val="24"/>
          <w:szCs w:val="24"/>
        </w:rPr>
      </w:pPr>
      <w:r w:rsidRPr="00386653">
        <w:rPr>
          <w:rFonts w:ascii="Aptos" w:hAnsi="Aptos"/>
          <w:sz w:val="24"/>
          <w:szCs w:val="24"/>
        </w:rPr>
        <w:t>older than—or no more than 10 years younger than—the deceased IRA owner.</w:t>
      </w:r>
    </w:p>
    <w:p w14:paraId="6C32E79E" w14:textId="77777777" w:rsidR="0008039D" w:rsidRPr="00386653" w:rsidRDefault="0008039D" w:rsidP="0008039D">
      <w:pPr>
        <w:pStyle w:val="ListParagraph"/>
        <w:ind w:left="720" w:firstLine="0"/>
        <w:rPr>
          <w:rFonts w:ascii="Aptos" w:hAnsi="Aptos"/>
          <w:sz w:val="24"/>
          <w:szCs w:val="24"/>
        </w:rPr>
      </w:pPr>
    </w:p>
    <w:p w14:paraId="29F82069" w14:textId="61D992FA" w:rsidR="007F7B68" w:rsidRPr="00386653" w:rsidRDefault="00386653" w:rsidP="00922681">
      <w:pPr>
        <w:rPr>
          <w:rFonts w:ascii="Aptos" w:hAnsi="Aptos"/>
          <w:sz w:val="24"/>
          <w:szCs w:val="24"/>
        </w:rPr>
      </w:pPr>
      <w:r w:rsidRPr="00386653">
        <w:rPr>
          <w:rFonts w:ascii="Aptos" w:hAnsi="Aptos"/>
          <w:sz w:val="24"/>
          <w:szCs w:val="24"/>
        </w:rPr>
        <w:t>If you qualify as an Eligible Designated Beneficiary, you will generally have the option of drawing down the Inherited IRA funds gradually over your life expectancy via annual (or more frequent) withdrawals*. Under some circumstances, you may also have</w:t>
      </w:r>
      <w:r w:rsidR="0008039D" w:rsidRPr="00386653">
        <w:rPr>
          <w:rFonts w:ascii="Aptos" w:hAnsi="Aptos"/>
          <w:sz w:val="24"/>
          <w:szCs w:val="24"/>
        </w:rPr>
        <w:t xml:space="preserve"> </w:t>
      </w:r>
      <w:r w:rsidRPr="00386653">
        <w:rPr>
          <w:rFonts w:ascii="Aptos" w:hAnsi="Aptos"/>
          <w:sz w:val="24"/>
          <w:szCs w:val="24"/>
        </w:rPr>
        <w:t>the option of electing the 10-Year Rule option. Under this option, you may withdraw funds at any time provided the Inherited IRA is completely depleted by December 31 of 10th year following the original IRA owner’s year of death.</w:t>
      </w:r>
    </w:p>
    <w:p w14:paraId="62F555A9" w14:textId="77777777" w:rsidR="009C0017" w:rsidRPr="00386653" w:rsidRDefault="009C0017" w:rsidP="00922681">
      <w:pPr>
        <w:rPr>
          <w:rFonts w:ascii="Aptos" w:hAnsi="Aptos"/>
          <w:sz w:val="24"/>
          <w:szCs w:val="24"/>
        </w:rPr>
      </w:pPr>
    </w:p>
    <w:p w14:paraId="29F8206A" w14:textId="78E43199" w:rsidR="007F7B68" w:rsidRPr="00386653" w:rsidRDefault="00386653" w:rsidP="00922681">
      <w:pPr>
        <w:rPr>
          <w:rFonts w:ascii="Aptos" w:hAnsi="Aptos"/>
          <w:sz w:val="24"/>
          <w:szCs w:val="24"/>
        </w:rPr>
      </w:pPr>
      <w:r w:rsidRPr="00386653">
        <w:rPr>
          <w:rFonts w:ascii="Aptos" w:hAnsi="Aptos"/>
          <w:sz w:val="24"/>
          <w:szCs w:val="24"/>
        </w:rPr>
        <w:t>SCENARIO #2: YOU DO NOT QUALIFY AS AN ELIGIBLE DESIGNATED BENEFICIARY</w:t>
      </w:r>
    </w:p>
    <w:p w14:paraId="3BFD4287" w14:textId="77777777" w:rsidR="009C0017" w:rsidRPr="00386653" w:rsidRDefault="009C0017" w:rsidP="00922681">
      <w:pPr>
        <w:rPr>
          <w:rFonts w:ascii="Aptos" w:hAnsi="Aptos"/>
          <w:sz w:val="24"/>
          <w:szCs w:val="24"/>
        </w:rPr>
      </w:pPr>
    </w:p>
    <w:p w14:paraId="29F8206C" w14:textId="111884AA" w:rsidR="007F7B68" w:rsidRPr="00386653" w:rsidRDefault="00386653" w:rsidP="00922681">
      <w:pPr>
        <w:rPr>
          <w:rFonts w:ascii="Aptos" w:hAnsi="Aptos"/>
          <w:sz w:val="24"/>
          <w:szCs w:val="24"/>
        </w:rPr>
      </w:pPr>
      <w:r w:rsidRPr="00386653">
        <w:rPr>
          <w:rFonts w:ascii="Aptos" w:hAnsi="Aptos"/>
          <w:sz w:val="24"/>
          <w:szCs w:val="24"/>
        </w:rPr>
        <w:t>A nonspouse beneficiary who does not meet the criteria necessary to qualify as an Eligible Designated Beneficiary must generally deplete an Inherited IRA by no later than December 31 of the 10th year following the deceased IRA owner’s year of death. In situations where a Traditional IRA owner passes away on or after their required beginning date, such nonspouse beneficiaries are also required to continue taking annual minimum distributions</w:t>
      </w:r>
      <w:r w:rsidR="0008039D" w:rsidRPr="00386653">
        <w:rPr>
          <w:rFonts w:ascii="Aptos" w:hAnsi="Aptos"/>
          <w:sz w:val="24"/>
          <w:szCs w:val="24"/>
        </w:rPr>
        <w:t xml:space="preserve"> </w:t>
      </w:r>
      <w:r w:rsidRPr="00386653">
        <w:rPr>
          <w:rFonts w:ascii="Aptos" w:hAnsi="Aptos"/>
          <w:sz w:val="24"/>
          <w:szCs w:val="24"/>
        </w:rPr>
        <w:t>in addition to the requirement that the Inherited IRA be completely depleted within 10 years.</w:t>
      </w:r>
    </w:p>
    <w:p w14:paraId="2EDD2EE0" w14:textId="77777777" w:rsidR="009C0017" w:rsidRPr="00386653" w:rsidRDefault="009C0017" w:rsidP="00922681">
      <w:pPr>
        <w:rPr>
          <w:rFonts w:ascii="Aptos" w:hAnsi="Aptos"/>
          <w:sz w:val="24"/>
          <w:szCs w:val="24"/>
        </w:rPr>
      </w:pPr>
    </w:p>
    <w:p w14:paraId="29F8206E" w14:textId="156B588A" w:rsidR="007F7B68" w:rsidRPr="00386653" w:rsidRDefault="00386653" w:rsidP="00922681">
      <w:pPr>
        <w:rPr>
          <w:rFonts w:ascii="Aptos" w:hAnsi="Aptos"/>
          <w:sz w:val="24"/>
          <w:szCs w:val="24"/>
        </w:rPr>
      </w:pPr>
      <w:r w:rsidRPr="00386653">
        <w:rPr>
          <w:rFonts w:ascii="Aptos" w:hAnsi="Aptos"/>
          <w:sz w:val="24"/>
          <w:szCs w:val="24"/>
        </w:rPr>
        <w:t>OTHER TYPES OF BENEFICIARIES (ESTATES, TRUSTS, CHARITIES, ETC.)</w:t>
      </w:r>
    </w:p>
    <w:p w14:paraId="4A3B9A8E" w14:textId="77777777" w:rsidR="009C0017" w:rsidRPr="00386653" w:rsidRDefault="009C0017" w:rsidP="00922681">
      <w:pPr>
        <w:rPr>
          <w:rFonts w:ascii="Aptos" w:hAnsi="Aptos"/>
          <w:sz w:val="24"/>
          <w:szCs w:val="24"/>
        </w:rPr>
      </w:pPr>
    </w:p>
    <w:p w14:paraId="29F82070" w14:textId="18CC015E" w:rsidR="007F7B68" w:rsidRPr="00386653" w:rsidRDefault="00386653" w:rsidP="00922681">
      <w:pPr>
        <w:rPr>
          <w:rFonts w:ascii="Aptos" w:hAnsi="Aptos"/>
          <w:sz w:val="24"/>
          <w:szCs w:val="24"/>
        </w:rPr>
      </w:pPr>
      <w:r w:rsidRPr="00386653">
        <w:rPr>
          <w:rFonts w:ascii="Aptos" w:hAnsi="Aptos"/>
          <w:sz w:val="24"/>
          <w:szCs w:val="24"/>
        </w:rPr>
        <w:t xml:space="preserve">The withdrawal options available for other types of beneficiaries such as estates, trusts, </w:t>
      </w:r>
      <w:r w:rsidRPr="00386653">
        <w:rPr>
          <w:rFonts w:ascii="Aptos" w:hAnsi="Aptos"/>
          <w:sz w:val="24"/>
          <w:szCs w:val="24"/>
        </w:rPr>
        <w:lastRenderedPageBreak/>
        <w:t>and charities can be quite complex depending on the type of IRA, the type of beneficiary, and the timing of the IRA owner’s death. Nonetheless, there are frequently</w:t>
      </w:r>
      <w:r w:rsidR="009C0017" w:rsidRPr="00386653">
        <w:rPr>
          <w:rFonts w:ascii="Aptos" w:hAnsi="Aptos"/>
          <w:sz w:val="24"/>
          <w:szCs w:val="24"/>
        </w:rPr>
        <w:t xml:space="preserve"> </w:t>
      </w:r>
      <w:r w:rsidRPr="00386653">
        <w:rPr>
          <w:rFonts w:ascii="Aptos" w:hAnsi="Aptos"/>
          <w:sz w:val="24"/>
          <w:szCs w:val="24"/>
        </w:rPr>
        <w:t xml:space="preserve">options available that can allow these types of beneficiaries to extend the </w:t>
      </w:r>
      <w:r w:rsidR="005F7FBF" w:rsidRPr="00386653">
        <w:rPr>
          <w:rFonts w:ascii="Aptos" w:hAnsi="Aptos"/>
          <w:sz w:val="24"/>
          <w:szCs w:val="24"/>
        </w:rPr>
        <w:t>tax-sheltered-</w:t>
      </w:r>
      <w:r w:rsidRPr="00386653">
        <w:rPr>
          <w:rFonts w:ascii="Aptos" w:hAnsi="Aptos"/>
          <w:sz w:val="24"/>
          <w:szCs w:val="24"/>
        </w:rPr>
        <w:t>benefits of Inherited IRAs.</w:t>
      </w:r>
      <w:r w:rsidR="005F7FBF" w:rsidRPr="00386653">
        <w:rPr>
          <w:rFonts w:ascii="Aptos" w:hAnsi="Aptos"/>
          <w:sz w:val="24"/>
          <w:szCs w:val="24"/>
        </w:rPr>
        <w:t xml:space="preserve"> </w:t>
      </w:r>
    </w:p>
    <w:p w14:paraId="457420E4" w14:textId="77777777" w:rsidR="009C0017" w:rsidRPr="00386653" w:rsidRDefault="009C0017" w:rsidP="00922681">
      <w:pPr>
        <w:rPr>
          <w:rFonts w:ascii="Aptos" w:hAnsi="Aptos"/>
          <w:sz w:val="24"/>
          <w:szCs w:val="24"/>
        </w:rPr>
      </w:pPr>
    </w:p>
    <w:p w14:paraId="29F82071" w14:textId="77777777" w:rsidR="007F7B68" w:rsidRPr="00922681" w:rsidRDefault="00386653" w:rsidP="00922681">
      <w:r w:rsidRPr="00386653">
        <w:rPr>
          <w:rFonts w:ascii="Aptos" w:hAnsi="Aptos"/>
          <w:sz w:val="24"/>
          <w:szCs w:val="24"/>
        </w:rPr>
        <w:t>* In multiple-primary beneficiary scenarios, an Eligible Designated Beneficiary may take life expectancy payments only if his interest has been separately accounted for by Decembe</w:t>
      </w:r>
      <w:r w:rsidRPr="00922681">
        <w:t>r 31 of the year following the year of death.</w:t>
      </w:r>
    </w:p>
    <w:sectPr w:rsidR="007F7B68" w:rsidRPr="00922681" w:rsidSect="004840BD">
      <w:type w:val="continuous"/>
      <w:pgSz w:w="12240" w:h="15840"/>
      <w:pgMar w:top="1440" w:right="1440" w:bottom="144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Gill Sans MT">
    <w:altName w:val="Gill Sans MT"/>
    <w:panose1 w:val="020B05020201040202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F82F83"/>
    <w:multiLevelType w:val="hybridMultilevel"/>
    <w:tmpl w:val="014ACDA4"/>
    <w:lvl w:ilvl="0" w:tplc="BB761D18">
      <w:numFmt w:val="bullet"/>
      <w:lvlText w:val="•"/>
      <w:lvlJc w:val="left"/>
      <w:pPr>
        <w:ind w:left="120" w:hanging="243"/>
      </w:pPr>
      <w:rPr>
        <w:rFonts w:ascii="Gill Sans MT" w:eastAsia="Gill Sans MT" w:hAnsi="Gill Sans MT" w:cs="Gill Sans MT" w:hint="default"/>
        <w:b w:val="0"/>
        <w:bCs w:val="0"/>
        <w:i w:val="0"/>
        <w:iCs w:val="0"/>
        <w:color w:val="231F20"/>
        <w:spacing w:val="0"/>
        <w:w w:val="282"/>
        <w:sz w:val="20"/>
        <w:szCs w:val="20"/>
        <w:lang w:val="en-US" w:eastAsia="en-US" w:bidi="ar-SA"/>
      </w:rPr>
    </w:lvl>
    <w:lvl w:ilvl="1" w:tplc="6B006110">
      <w:numFmt w:val="bullet"/>
      <w:lvlText w:val="•"/>
      <w:lvlJc w:val="left"/>
      <w:pPr>
        <w:ind w:left="623" w:hanging="243"/>
      </w:pPr>
      <w:rPr>
        <w:rFonts w:hint="default"/>
        <w:lang w:val="en-US" w:eastAsia="en-US" w:bidi="ar-SA"/>
      </w:rPr>
    </w:lvl>
    <w:lvl w:ilvl="2" w:tplc="1904F362">
      <w:numFmt w:val="bullet"/>
      <w:lvlText w:val="•"/>
      <w:lvlJc w:val="left"/>
      <w:pPr>
        <w:ind w:left="1127" w:hanging="243"/>
      </w:pPr>
      <w:rPr>
        <w:rFonts w:hint="default"/>
        <w:lang w:val="en-US" w:eastAsia="en-US" w:bidi="ar-SA"/>
      </w:rPr>
    </w:lvl>
    <w:lvl w:ilvl="3" w:tplc="9ED4993A">
      <w:numFmt w:val="bullet"/>
      <w:lvlText w:val="•"/>
      <w:lvlJc w:val="left"/>
      <w:pPr>
        <w:ind w:left="1630" w:hanging="243"/>
      </w:pPr>
      <w:rPr>
        <w:rFonts w:hint="default"/>
        <w:lang w:val="en-US" w:eastAsia="en-US" w:bidi="ar-SA"/>
      </w:rPr>
    </w:lvl>
    <w:lvl w:ilvl="4" w:tplc="B692A46E">
      <w:numFmt w:val="bullet"/>
      <w:lvlText w:val="•"/>
      <w:lvlJc w:val="left"/>
      <w:pPr>
        <w:ind w:left="2134" w:hanging="243"/>
      </w:pPr>
      <w:rPr>
        <w:rFonts w:hint="default"/>
        <w:lang w:val="en-US" w:eastAsia="en-US" w:bidi="ar-SA"/>
      </w:rPr>
    </w:lvl>
    <w:lvl w:ilvl="5" w:tplc="9FC49508">
      <w:numFmt w:val="bullet"/>
      <w:lvlText w:val="•"/>
      <w:lvlJc w:val="left"/>
      <w:pPr>
        <w:ind w:left="2637" w:hanging="243"/>
      </w:pPr>
      <w:rPr>
        <w:rFonts w:hint="default"/>
        <w:lang w:val="en-US" w:eastAsia="en-US" w:bidi="ar-SA"/>
      </w:rPr>
    </w:lvl>
    <w:lvl w:ilvl="6" w:tplc="D638CA80">
      <w:numFmt w:val="bullet"/>
      <w:lvlText w:val="•"/>
      <w:lvlJc w:val="left"/>
      <w:pPr>
        <w:ind w:left="3141" w:hanging="243"/>
      </w:pPr>
      <w:rPr>
        <w:rFonts w:hint="default"/>
        <w:lang w:val="en-US" w:eastAsia="en-US" w:bidi="ar-SA"/>
      </w:rPr>
    </w:lvl>
    <w:lvl w:ilvl="7" w:tplc="2D3A8CCC">
      <w:numFmt w:val="bullet"/>
      <w:lvlText w:val="•"/>
      <w:lvlJc w:val="left"/>
      <w:pPr>
        <w:ind w:left="3644" w:hanging="243"/>
      </w:pPr>
      <w:rPr>
        <w:rFonts w:hint="default"/>
        <w:lang w:val="en-US" w:eastAsia="en-US" w:bidi="ar-SA"/>
      </w:rPr>
    </w:lvl>
    <w:lvl w:ilvl="8" w:tplc="0164BBE4">
      <w:numFmt w:val="bullet"/>
      <w:lvlText w:val="•"/>
      <w:lvlJc w:val="left"/>
      <w:pPr>
        <w:ind w:left="4148" w:hanging="243"/>
      </w:pPr>
      <w:rPr>
        <w:rFonts w:hint="default"/>
        <w:lang w:val="en-US" w:eastAsia="en-US" w:bidi="ar-SA"/>
      </w:rPr>
    </w:lvl>
  </w:abstractNum>
  <w:abstractNum w:abstractNumId="1" w15:restartNumberingAfterBreak="0">
    <w:nsid w:val="59571FF9"/>
    <w:multiLevelType w:val="hybridMultilevel"/>
    <w:tmpl w:val="82767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98509115">
    <w:abstractNumId w:val="0"/>
  </w:num>
  <w:num w:numId="2" w16cid:durableId="60045758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7F7B68"/>
    <w:rsid w:val="0008039D"/>
    <w:rsid w:val="00386653"/>
    <w:rsid w:val="004840BD"/>
    <w:rsid w:val="005F7FBF"/>
    <w:rsid w:val="007F7B68"/>
    <w:rsid w:val="00884624"/>
    <w:rsid w:val="00922681"/>
    <w:rsid w:val="00925380"/>
    <w:rsid w:val="0093784E"/>
    <w:rsid w:val="009C0017"/>
    <w:rsid w:val="00B115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8203C"/>
  <w15:docId w15:val="{21FED383-1308-46C8-9FF4-A84D0284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ill Sans MT" w:eastAsia="Gill Sans MT" w:hAnsi="Gill Sans MT" w:cs="Gill Sans MT"/>
    </w:rPr>
  </w:style>
  <w:style w:type="paragraph" w:styleId="Heading1">
    <w:name w:val="heading 1"/>
    <w:basedOn w:val="Normal"/>
    <w:uiPriority w:val="9"/>
    <w:qFormat/>
    <w:pPr>
      <w:spacing w:before="66"/>
      <w:ind w:left="1095"/>
      <w:outlineLvl w:val="0"/>
    </w:pPr>
    <w:rPr>
      <w:rFonts w:ascii="Tahoma" w:eastAsia="Tahoma" w:hAnsi="Tahoma" w:cs="Tahoma"/>
      <w:sz w:val="46"/>
      <w:szCs w:val="46"/>
    </w:rPr>
  </w:style>
  <w:style w:type="paragraph" w:styleId="Heading2">
    <w:name w:val="heading 2"/>
    <w:basedOn w:val="Normal"/>
    <w:uiPriority w:val="9"/>
    <w:unhideWhenUsed/>
    <w:qFormat/>
    <w:pPr>
      <w:spacing w:before="146"/>
      <w:ind w:left="883"/>
      <w:outlineLvl w:val="1"/>
    </w:pPr>
    <w:rPr>
      <w:rFonts w:ascii="Tahoma" w:eastAsia="Tahoma" w:hAnsi="Tahoma" w:cs="Tahoma"/>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1"/>
      <w:ind w:left="554" w:right="6874"/>
      <w:jc w:val="both"/>
    </w:pPr>
    <w:rPr>
      <w:rFonts w:ascii="Tahoma" w:eastAsia="Tahoma" w:hAnsi="Tahoma" w:cs="Tahoma"/>
      <w:sz w:val="114"/>
      <w:szCs w:val="114"/>
    </w:rPr>
  </w:style>
  <w:style w:type="paragraph" w:styleId="ListParagraph">
    <w:name w:val="List Paragraph"/>
    <w:basedOn w:val="Normal"/>
    <w:uiPriority w:val="1"/>
    <w:qFormat/>
    <w:pPr>
      <w:spacing w:before="8"/>
      <w:ind w:left="362" w:hanging="24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829</Words>
  <Characters>4727</Characters>
  <Application>Microsoft Office Word</Application>
  <DocSecurity>0</DocSecurity>
  <Lines>39</Lines>
  <Paragraphs>11</Paragraphs>
  <ScaleCrop>false</ScaleCrop>
  <Company/>
  <LinksUpToDate>false</LinksUpToDate>
  <CharactersWithSpaces>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Loni Porta</cp:lastModifiedBy>
  <cp:revision>10</cp:revision>
  <dcterms:created xsi:type="dcterms:W3CDTF">2024-07-05T15:56:00Z</dcterms:created>
  <dcterms:modified xsi:type="dcterms:W3CDTF">2024-07-05T17:19:00Z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2024-06-17T00:00:00Z</vt:filetime>
  </property>
  <property fmtid="{D5CDD505-2E9C-101B-9397-08002B2CF9AE}" pid="3" name="Creator">
    <vt:lpwstr>Adobe InDesign 18.0 (Macintosh)</vt:lpwstr>
  </property>
  <property fmtid="{D5CDD505-2E9C-101B-9397-08002B2CF9AE}" pid="4" name="LastSaved">
    <vt:filetime>2024-07-05T00:00:00Z</vt:filetime>
  </property>
  <property fmtid="{D5CDD505-2E9C-101B-9397-08002B2CF9AE}" pid="5" name="Producer">
    <vt:lpwstr>Adobe PDF Library 17.0</vt:lpwstr>
  </property>
</Properties>
</file>